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BE" w:rsidRDefault="002B2EBE" w:rsidP="00D04274">
      <w:pPr>
        <w:pStyle w:val="Title"/>
        <w:spacing w:after="0"/>
        <w:jc w:val="center"/>
        <w:rPr>
          <w:rFonts w:asciiTheme="minorHAnsi" w:hAnsiTheme="minorHAnsi"/>
          <w:b/>
          <w:sz w:val="48"/>
          <w:szCs w:val="22"/>
        </w:rPr>
      </w:pPr>
      <w:r w:rsidRPr="002B2EBE">
        <w:rPr>
          <w:rFonts w:asciiTheme="minorHAnsi" w:hAnsiTheme="minorHAnsi"/>
          <w:b/>
          <w:sz w:val="48"/>
          <w:szCs w:val="22"/>
        </w:rPr>
        <w:t xml:space="preserve">Good Practice guidelines for </w:t>
      </w:r>
    </w:p>
    <w:p w:rsidR="002E28FA" w:rsidRPr="002B2EBE" w:rsidRDefault="002B2EBE" w:rsidP="00D04274">
      <w:pPr>
        <w:pStyle w:val="Title"/>
        <w:spacing w:after="0"/>
        <w:jc w:val="center"/>
        <w:rPr>
          <w:rFonts w:asciiTheme="minorHAnsi" w:hAnsiTheme="minorHAnsi"/>
          <w:b/>
          <w:sz w:val="48"/>
          <w:szCs w:val="22"/>
        </w:rPr>
      </w:pPr>
      <w:r w:rsidRPr="002B2EBE">
        <w:rPr>
          <w:rFonts w:asciiTheme="minorHAnsi" w:hAnsiTheme="minorHAnsi"/>
          <w:b/>
          <w:sz w:val="48"/>
          <w:szCs w:val="22"/>
        </w:rPr>
        <w:t>Electronic Patient Records (</w:t>
      </w:r>
      <w:proofErr w:type="spellStart"/>
      <w:r w:rsidRPr="002B2EBE">
        <w:rPr>
          <w:rFonts w:asciiTheme="minorHAnsi" w:hAnsiTheme="minorHAnsi"/>
          <w:b/>
          <w:sz w:val="48"/>
          <w:szCs w:val="22"/>
        </w:rPr>
        <w:t>eHR</w:t>
      </w:r>
      <w:proofErr w:type="spellEnd"/>
      <w:r w:rsidRPr="002B2EBE">
        <w:rPr>
          <w:rFonts w:asciiTheme="minorHAnsi" w:hAnsiTheme="minorHAnsi"/>
          <w:b/>
          <w:sz w:val="48"/>
          <w:szCs w:val="22"/>
        </w:rPr>
        <w:t>)</w:t>
      </w:r>
    </w:p>
    <w:p w:rsidR="00D04274" w:rsidRPr="002B2EBE" w:rsidRDefault="00D04274" w:rsidP="00D04274">
      <w:pPr>
        <w:pStyle w:val="Heading1"/>
        <w:spacing w:before="0"/>
        <w:rPr>
          <w:rFonts w:asciiTheme="minorHAnsi" w:hAnsiTheme="minorHAnsi"/>
          <w:bCs w:val="0"/>
          <w:sz w:val="24"/>
          <w:szCs w:val="22"/>
        </w:rPr>
      </w:pPr>
    </w:p>
    <w:p w:rsidR="002B2EBE" w:rsidRPr="003D15BB" w:rsidRDefault="002B2EBE" w:rsidP="002B2EBE">
      <w:pPr>
        <w:rPr>
          <w:rFonts w:ascii="Arial" w:hAnsi="Arial" w:cs="Arial"/>
          <w:b/>
          <w:sz w:val="28"/>
          <w:szCs w:val="28"/>
        </w:rPr>
      </w:pPr>
      <w:r w:rsidRPr="003D15BB">
        <w:rPr>
          <w:rFonts w:ascii="Arial" w:hAnsi="Arial" w:cs="Arial"/>
          <w:b/>
          <w:sz w:val="28"/>
          <w:szCs w:val="28"/>
        </w:rPr>
        <w:t>Table of contents</w:t>
      </w:r>
      <w:bookmarkStart w:id="0" w:name="_GoBack"/>
      <w:bookmarkEnd w:id="0"/>
    </w:p>
    <w:p w:rsidR="002B2EBE" w:rsidRDefault="002B2EBE" w:rsidP="002B2EBE">
      <w:pPr>
        <w:pStyle w:val="TOC1"/>
        <w:tabs>
          <w:tab w:val="left" w:pos="480"/>
          <w:tab w:val="right" w:pos="901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8094965" w:history="1">
        <w:r w:rsidRPr="00C3536D">
          <w:rPr>
            <w:rStyle w:val="Hyperlink"/>
            <w:noProof/>
          </w:rPr>
          <w:t>1</w:t>
        </w:r>
        <w:r>
          <w:rPr>
            <w:rFonts w:asciiTheme="minorHAnsi" w:eastAsiaTheme="minorEastAsia" w:hAnsiTheme="minorHAnsi" w:cstheme="minorBidi"/>
            <w:b w:val="0"/>
            <w:bCs w:val="0"/>
            <w:caps w:val="0"/>
            <w:noProof/>
            <w:lang w:eastAsia="en-GB"/>
          </w:rPr>
          <w:tab/>
        </w:r>
        <w:r w:rsidRPr="003D15BB">
          <w:rPr>
            <w:rStyle w:val="Hyperlink"/>
            <w:caps w:val="0"/>
            <w:noProof/>
          </w:rPr>
          <w:t>Introduction</w:t>
        </w:r>
        <w:r w:rsidRPr="003D15BB">
          <w:rPr>
            <w:caps w:val="0"/>
            <w:noProof/>
            <w:webHidden/>
          </w:rPr>
          <w:t xml:space="preserve"> </w:t>
        </w:r>
        <w:r>
          <w:rPr>
            <w:noProof/>
            <w:webHidden/>
          </w:rPr>
          <w:t xml:space="preserve">                                                                                                                      </w:t>
        </w:r>
        <w:r>
          <w:rPr>
            <w:noProof/>
            <w:webHidden/>
          </w:rPr>
          <w:fldChar w:fldCharType="begin"/>
        </w:r>
        <w:r>
          <w:rPr>
            <w:noProof/>
            <w:webHidden/>
          </w:rPr>
          <w:instrText xml:space="preserve"> PAGEREF _Toc498094965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66" w:history="1">
        <w:r w:rsidRPr="00C3536D">
          <w:rPr>
            <w:rStyle w:val="Hyperlink"/>
            <w:rFonts w:ascii="Arial" w:hAnsi="Arial" w:cs="Arial"/>
            <w:noProof/>
          </w:rPr>
          <w:t>1.1</w:t>
        </w:r>
        <w:r>
          <w:rPr>
            <w:rFonts w:eastAsiaTheme="minorEastAsia" w:cstheme="minorBidi"/>
            <w:b w:val="0"/>
            <w:bCs w:val="0"/>
            <w:noProof/>
            <w:sz w:val="24"/>
            <w:szCs w:val="24"/>
            <w:lang w:eastAsia="en-GB"/>
          </w:rPr>
          <w:tab/>
        </w:r>
        <w:r>
          <w:rPr>
            <w:rStyle w:val="Hyperlink"/>
            <w:rFonts w:ascii="Arial" w:hAnsi="Arial" w:cs="Arial"/>
            <w:noProof/>
          </w:rPr>
          <w:t>Policy s</w:t>
        </w:r>
        <w:r w:rsidRPr="00C3536D">
          <w:rPr>
            <w:rStyle w:val="Hyperlink"/>
            <w:rFonts w:ascii="Arial" w:hAnsi="Arial" w:cs="Arial"/>
            <w:noProof/>
          </w:rPr>
          <w:t>tatement</w:t>
        </w:r>
        <w:r>
          <w:rPr>
            <w:noProof/>
            <w:webHidden/>
          </w:rPr>
          <w:tab/>
        </w:r>
        <w:r>
          <w:rPr>
            <w:noProof/>
            <w:webHidden/>
          </w:rPr>
          <w:fldChar w:fldCharType="begin"/>
        </w:r>
        <w:r>
          <w:rPr>
            <w:noProof/>
            <w:webHidden/>
          </w:rPr>
          <w:instrText xml:space="preserve"> PAGEREF _Toc498094966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67" w:history="1">
        <w:r w:rsidRPr="00C3536D">
          <w:rPr>
            <w:rStyle w:val="Hyperlink"/>
            <w:rFonts w:ascii="Arial" w:hAnsi="Arial" w:cs="Arial"/>
            <w:noProof/>
          </w:rPr>
          <w:t>1.2</w:t>
        </w:r>
        <w:r>
          <w:rPr>
            <w:rFonts w:eastAsiaTheme="minorEastAsia" w:cstheme="minorBidi"/>
            <w:b w:val="0"/>
            <w:bCs w:val="0"/>
            <w:noProof/>
            <w:sz w:val="24"/>
            <w:szCs w:val="24"/>
            <w:lang w:eastAsia="en-GB"/>
          </w:rPr>
          <w:tab/>
        </w:r>
        <w:r w:rsidRPr="00C3536D">
          <w:rPr>
            <w:rStyle w:val="Hyperlink"/>
            <w:rFonts w:ascii="Arial" w:hAnsi="Arial" w:cs="Arial"/>
            <w:noProof/>
          </w:rPr>
          <w:t>Status</w:t>
        </w:r>
        <w:r>
          <w:rPr>
            <w:noProof/>
            <w:webHidden/>
          </w:rPr>
          <w:tab/>
        </w:r>
        <w:r>
          <w:rPr>
            <w:noProof/>
            <w:webHidden/>
          </w:rPr>
          <w:fldChar w:fldCharType="begin"/>
        </w:r>
        <w:r>
          <w:rPr>
            <w:noProof/>
            <w:webHidden/>
          </w:rPr>
          <w:instrText xml:space="preserve"> PAGEREF _Toc498094967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68" w:history="1">
        <w:r w:rsidRPr="00C3536D">
          <w:rPr>
            <w:rStyle w:val="Hyperlink"/>
            <w:rFonts w:ascii="Arial" w:hAnsi="Arial" w:cs="Arial"/>
            <w:noProof/>
          </w:rPr>
          <w:t>1.3</w:t>
        </w:r>
        <w:r>
          <w:rPr>
            <w:rFonts w:eastAsiaTheme="minorEastAsia" w:cstheme="minorBidi"/>
            <w:b w:val="0"/>
            <w:bCs w:val="0"/>
            <w:noProof/>
            <w:sz w:val="24"/>
            <w:szCs w:val="24"/>
            <w:lang w:eastAsia="en-GB"/>
          </w:rPr>
          <w:tab/>
        </w:r>
        <w:r>
          <w:rPr>
            <w:rStyle w:val="Hyperlink"/>
            <w:rFonts w:ascii="Arial" w:hAnsi="Arial" w:cs="Arial"/>
            <w:noProof/>
          </w:rPr>
          <w:t>Training and s</w:t>
        </w:r>
        <w:r w:rsidRPr="00C3536D">
          <w:rPr>
            <w:rStyle w:val="Hyperlink"/>
            <w:rFonts w:ascii="Arial" w:hAnsi="Arial" w:cs="Arial"/>
            <w:noProof/>
          </w:rPr>
          <w:t>upport</w:t>
        </w:r>
        <w:r>
          <w:rPr>
            <w:noProof/>
            <w:webHidden/>
          </w:rPr>
          <w:tab/>
        </w:r>
        <w:r>
          <w:rPr>
            <w:noProof/>
            <w:webHidden/>
          </w:rPr>
          <w:fldChar w:fldCharType="begin"/>
        </w:r>
        <w:r>
          <w:rPr>
            <w:noProof/>
            <w:webHidden/>
          </w:rPr>
          <w:instrText xml:space="preserve"> PAGEREF _Toc498094968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1"/>
        <w:tabs>
          <w:tab w:val="left" w:pos="480"/>
          <w:tab w:val="right" w:pos="9010"/>
        </w:tabs>
        <w:rPr>
          <w:rFonts w:asciiTheme="minorHAnsi" w:eastAsiaTheme="minorEastAsia" w:hAnsiTheme="minorHAnsi" w:cstheme="minorBidi"/>
          <w:b w:val="0"/>
          <w:bCs w:val="0"/>
          <w:caps w:val="0"/>
          <w:noProof/>
          <w:lang w:eastAsia="en-GB"/>
        </w:rPr>
      </w:pPr>
      <w:hyperlink w:anchor="_Toc498094969" w:history="1">
        <w:r w:rsidRPr="00C3536D">
          <w:rPr>
            <w:rStyle w:val="Hyperlink"/>
            <w:noProof/>
          </w:rPr>
          <w:t>2</w:t>
        </w:r>
        <w:r>
          <w:rPr>
            <w:rFonts w:asciiTheme="minorHAnsi" w:eastAsiaTheme="minorEastAsia" w:hAnsiTheme="minorHAnsi" w:cstheme="minorBidi"/>
            <w:b w:val="0"/>
            <w:bCs w:val="0"/>
            <w:caps w:val="0"/>
            <w:noProof/>
            <w:lang w:eastAsia="en-GB"/>
          </w:rPr>
          <w:tab/>
        </w:r>
        <w:r w:rsidRPr="003D15BB">
          <w:rPr>
            <w:rStyle w:val="Hyperlink"/>
            <w:caps w:val="0"/>
            <w:noProof/>
          </w:rPr>
          <w:t>Scope</w:t>
        </w:r>
        <w:r>
          <w:rPr>
            <w:noProof/>
            <w:webHidden/>
          </w:rPr>
          <w:t xml:space="preserve">                                                                                                                                   </w:t>
        </w:r>
        <w:r>
          <w:rPr>
            <w:noProof/>
            <w:webHidden/>
          </w:rPr>
          <w:fldChar w:fldCharType="begin"/>
        </w:r>
        <w:r>
          <w:rPr>
            <w:noProof/>
            <w:webHidden/>
          </w:rPr>
          <w:instrText xml:space="preserve"> PAGEREF _Toc498094969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0" w:history="1">
        <w:r w:rsidRPr="00C3536D">
          <w:rPr>
            <w:rStyle w:val="Hyperlink"/>
            <w:rFonts w:ascii="Arial" w:hAnsi="Arial" w:cs="Arial"/>
            <w:noProof/>
          </w:rPr>
          <w:t>2.1</w:t>
        </w:r>
        <w:r>
          <w:rPr>
            <w:rFonts w:eastAsiaTheme="minorEastAsia" w:cstheme="minorBidi"/>
            <w:b w:val="0"/>
            <w:bCs w:val="0"/>
            <w:noProof/>
            <w:sz w:val="24"/>
            <w:szCs w:val="24"/>
            <w:lang w:eastAsia="en-GB"/>
          </w:rPr>
          <w:tab/>
        </w:r>
        <w:r>
          <w:rPr>
            <w:rStyle w:val="Hyperlink"/>
            <w:rFonts w:ascii="Arial" w:hAnsi="Arial" w:cs="Arial"/>
            <w:noProof/>
          </w:rPr>
          <w:t>Who it applies t</w:t>
        </w:r>
        <w:r w:rsidRPr="00C3536D">
          <w:rPr>
            <w:rStyle w:val="Hyperlink"/>
            <w:rFonts w:ascii="Arial" w:hAnsi="Arial" w:cs="Arial"/>
            <w:noProof/>
          </w:rPr>
          <w:t>o</w:t>
        </w:r>
        <w:r>
          <w:rPr>
            <w:noProof/>
            <w:webHidden/>
          </w:rPr>
          <w:tab/>
        </w:r>
        <w:r>
          <w:rPr>
            <w:noProof/>
            <w:webHidden/>
          </w:rPr>
          <w:fldChar w:fldCharType="begin"/>
        </w:r>
        <w:r>
          <w:rPr>
            <w:noProof/>
            <w:webHidden/>
          </w:rPr>
          <w:instrText xml:space="preserve"> PAGEREF _Toc498094970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1" w:history="1">
        <w:r w:rsidRPr="00C3536D">
          <w:rPr>
            <w:rStyle w:val="Hyperlink"/>
            <w:rFonts w:ascii="Arial" w:hAnsi="Arial" w:cs="Arial"/>
            <w:noProof/>
          </w:rPr>
          <w:t>2.2</w:t>
        </w:r>
        <w:r>
          <w:rPr>
            <w:rFonts w:eastAsiaTheme="minorEastAsia" w:cstheme="minorBidi"/>
            <w:b w:val="0"/>
            <w:bCs w:val="0"/>
            <w:noProof/>
            <w:sz w:val="24"/>
            <w:szCs w:val="24"/>
            <w:lang w:eastAsia="en-GB"/>
          </w:rPr>
          <w:tab/>
        </w:r>
        <w:r>
          <w:rPr>
            <w:rStyle w:val="Hyperlink"/>
            <w:rFonts w:ascii="Arial" w:hAnsi="Arial" w:cs="Arial"/>
            <w:noProof/>
          </w:rPr>
          <w:t>Why and how it applies to t</w:t>
        </w:r>
        <w:r w:rsidRPr="00C3536D">
          <w:rPr>
            <w:rStyle w:val="Hyperlink"/>
            <w:rFonts w:ascii="Arial" w:hAnsi="Arial" w:cs="Arial"/>
            <w:noProof/>
          </w:rPr>
          <w:t>hem</w:t>
        </w:r>
        <w:r>
          <w:rPr>
            <w:noProof/>
            <w:webHidden/>
          </w:rPr>
          <w:tab/>
        </w:r>
        <w:r>
          <w:rPr>
            <w:noProof/>
            <w:webHidden/>
          </w:rPr>
          <w:fldChar w:fldCharType="begin"/>
        </w:r>
        <w:r>
          <w:rPr>
            <w:noProof/>
            <w:webHidden/>
          </w:rPr>
          <w:instrText xml:space="preserve"> PAGEREF _Toc498094971 \h </w:instrText>
        </w:r>
        <w:r>
          <w:rPr>
            <w:noProof/>
            <w:webHidden/>
          </w:rPr>
        </w:r>
        <w:r>
          <w:rPr>
            <w:noProof/>
            <w:webHidden/>
          </w:rPr>
          <w:fldChar w:fldCharType="separate"/>
        </w:r>
        <w:r>
          <w:rPr>
            <w:noProof/>
            <w:webHidden/>
          </w:rPr>
          <w:t>2</w:t>
        </w:r>
        <w:r>
          <w:rPr>
            <w:noProof/>
            <w:webHidden/>
          </w:rPr>
          <w:fldChar w:fldCharType="end"/>
        </w:r>
      </w:hyperlink>
    </w:p>
    <w:p w:rsidR="002B2EBE" w:rsidRDefault="002B2EBE" w:rsidP="002B2EBE">
      <w:pPr>
        <w:pStyle w:val="TOC1"/>
        <w:tabs>
          <w:tab w:val="left" w:pos="480"/>
          <w:tab w:val="right" w:pos="9010"/>
        </w:tabs>
        <w:rPr>
          <w:rFonts w:asciiTheme="minorHAnsi" w:eastAsiaTheme="minorEastAsia" w:hAnsiTheme="minorHAnsi" w:cstheme="minorBidi"/>
          <w:b w:val="0"/>
          <w:bCs w:val="0"/>
          <w:caps w:val="0"/>
          <w:noProof/>
          <w:lang w:eastAsia="en-GB"/>
        </w:rPr>
      </w:pPr>
      <w:hyperlink w:anchor="_Toc498094972" w:history="1">
        <w:r w:rsidRPr="00C3536D">
          <w:rPr>
            <w:rStyle w:val="Hyperlink"/>
            <w:noProof/>
          </w:rPr>
          <w:t>3</w:t>
        </w:r>
        <w:r>
          <w:rPr>
            <w:rFonts w:asciiTheme="minorHAnsi" w:eastAsiaTheme="minorEastAsia" w:hAnsiTheme="minorHAnsi" w:cstheme="minorBidi"/>
            <w:b w:val="0"/>
            <w:bCs w:val="0"/>
            <w:caps w:val="0"/>
            <w:noProof/>
            <w:lang w:eastAsia="en-GB"/>
          </w:rPr>
          <w:tab/>
        </w:r>
        <w:r w:rsidRPr="003D15BB">
          <w:rPr>
            <w:rStyle w:val="Hyperlink"/>
            <w:caps w:val="0"/>
            <w:noProof/>
          </w:rPr>
          <w:t>Policy</w:t>
        </w:r>
        <w:r>
          <w:rPr>
            <w:noProof/>
            <w:webHidden/>
          </w:rPr>
          <w:t xml:space="preserve">                                                                                                                                   </w:t>
        </w:r>
        <w:r>
          <w:rPr>
            <w:noProof/>
            <w:webHidden/>
          </w:rPr>
          <w:fldChar w:fldCharType="begin"/>
        </w:r>
        <w:r>
          <w:rPr>
            <w:noProof/>
            <w:webHidden/>
          </w:rPr>
          <w:instrText xml:space="preserve"> PAGEREF _Toc498094972 \h </w:instrText>
        </w:r>
        <w:r>
          <w:rPr>
            <w:noProof/>
            <w:webHidden/>
          </w:rPr>
        </w:r>
        <w:r>
          <w:rPr>
            <w:noProof/>
            <w:webHidden/>
          </w:rPr>
          <w:fldChar w:fldCharType="separate"/>
        </w:r>
        <w:r>
          <w:rPr>
            <w:noProof/>
            <w:webHidden/>
          </w:rPr>
          <w:t>3</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3" w:history="1">
        <w:r w:rsidRPr="00C3536D">
          <w:rPr>
            <w:rStyle w:val="Hyperlink"/>
            <w:rFonts w:ascii="Arial" w:hAnsi="Arial" w:cs="Arial"/>
            <w:noProof/>
          </w:rPr>
          <w:t>3.1</w:t>
        </w:r>
        <w:r>
          <w:rPr>
            <w:rFonts w:eastAsiaTheme="minorEastAsia" w:cstheme="minorBidi"/>
            <w:b w:val="0"/>
            <w:bCs w:val="0"/>
            <w:noProof/>
            <w:sz w:val="24"/>
            <w:szCs w:val="24"/>
            <w:lang w:eastAsia="en-GB"/>
          </w:rPr>
          <w:tab/>
        </w:r>
        <w:r w:rsidRPr="00C3536D">
          <w:rPr>
            <w:rStyle w:val="Hyperlink"/>
            <w:rFonts w:ascii="Arial" w:hAnsi="Arial" w:cs="Arial"/>
            <w:noProof/>
          </w:rPr>
          <w:t>Overview</w:t>
        </w:r>
        <w:r>
          <w:rPr>
            <w:noProof/>
            <w:webHidden/>
          </w:rPr>
          <w:tab/>
        </w:r>
        <w:r>
          <w:rPr>
            <w:noProof/>
            <w:webHidden/>
          </w:rPr>
          <w:fldChar w:fldCharType="begin"/>
        </w:r>
        <w:r>
          <w:rPr>
            <w:noProof/>
            <w:webHidden/>
          </w:rPr>
          <w:instrText xml:space="preserve"> PAGEREF _Toc498094973 \h </w:instrText>
        </w:r>
        <w:r>
          <w:rPr>
            <w:noProof/>
            <w:webHidden/>
          </w:rPr>
        </w:r>
        <w:r>
          <w:rPr>
            <w:noProof/>
            <w:webHidden/>
          </w:rPr>
          <w:fldChar w:fldCharType="separate"/>
        </w:r>
        <w:r>
          <w:rPr>
            <w:noProof/>
            <w:webHidden/>
          </w:rPr>
          <w:t>3</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4" w:history="1">
        <w:r w:rsidRPr="00C3536D">
          <w:rPr>
            <w:rStyle w:val="Hyperlink"/>
            <w:rFonts w:ascii="Arial" w:hAnsi="Arial" w:cs="Arial"/>
            <w:noProof/>
          </w:rPr>
          <w:t>3.2</w:t>
        </w:r>
        <w:r>
          <w:rPr>
            <w:rFonts w:eastAsiaTheme="minorEastAsia" w:cstheme="minorBidi"/>
            <w:b w:val="0"/>
            <w:bCs w:val="0"/>
            <w:noProof/>
            <w:sz w:val="24"/>
            <w:szCs w:val="24"/>
            <w:lang w:eastAsia="en-GB"/>
          </w:rPr>
          <w:tab/>
        </w:r>
        <w:r>
          <w:rPr>
            <w:rStyle w:val="Hyperlink"/>
            <w:rFonts w:ascii="Arial" w:hAnsi="Arial" w:cs="Arial"/>
            <w:noProof/>
          </w:rPr>
          <w:t>Summary of c</w:t>
        </w:r>
        <w:r w:rsidRPr="00C3536D">
          <w:rPr>
            <w:rStyle w:val="Hyperlink"/>
            <w:rFonts w:ascii="Arial" w:hAnsi="Arial" w:cs="Arial"/>
            <w:noProof/>
          </w:rPr>
          <w:t>hapters</w:t>
        </w:r>
        <w:r>
          <w:rPr>
            <w:noProof/>
            <w:webHidden/>
          </w:rPr>
          <w:tab/>
        </w:r>
        <w:r>
          <w:rPr>
            <w:noProof/>
            <w:webHidden/>
          </w:rPr>
          <w:fldChar w:fldCharType="begin"/>
        </w:r>
        <w:r>
          <w:rPr>
            <w:noProof/>
            <w:webHidden/>
          </w:rPr>
          <w:instrText xml:space="preserve"> PAGEREF _Toc498094974 \h </w:instrText>
        </w:r>
        <w:r>
          <w:rPr>
            <w:noProof/>
            <w:webHidden/>
          </w:rPr>
        </w:r>
        <w:r>
          <w:rPr>
            <w:noProof/>
            <w:webHidden/>
          </w:rPr>
          <w:fldChar w:fldCharType="separate"/>
        </w:r>
        <w:r>
          <w:rPr>
            <w:noProof/>
            <w:webHidden/>
          </w:rPr>
          <w:t>3</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5" w:history="1">
        <w:r w:rsidRPr="00C3536D">
          <w:rPr>
            <w:rStyle w:val="Hyperlink"/>
            <w:rFonts w:ascii="Arial" w:hAnsi="Arial" w:cs="Arial"/>
            <w:noProof/>
          </w:rPr>
          <w:t>3.3</w:t>
        </w:r>
        <w:r>
          <w:rPr>
            <w:rFonts w:eastAsiaTheme="minorEastAsia" w:cstheme="minorBidi"/>
            <w:b w:val="0"/>
            <w:bCs w:val="0"/>
            <w:noProof/>
            <w:sz w:val="24"/>
            <w:szCs w:val="24"/>
            <w:lang w:eastAsia="en-GB"/>
          </w:rPr>
          <w:tab/>
        </w:r>
        <w:r>
          <w:rPr>
            <w:rStyle w:val="Hyperlink"/>
            <w:rFonts w:ascii="Arial" w:hAnsi="Arial" w:cs="Arial"/>
            <w:noProof/>
          </w:rPr>
          <w:t>Additional r</w:t>
        </w:r>
        <w:r w:rsidRPr="00C3536D">
          <w:rPr>
            <w:rStyle w:val="Hyperlink"/>
            <w:rFonts w:ascii="Arial" w:hAnsi="Arial" w:cs="Arial"/>
            <w:noProof/>
          </w:rPr>
          <w:t>esources</w:t>
        </w:r>
        <w:r>
          <w:rPr>
            <w:noProof/>
            <w:webHidden/>
          </w:rPr>
          <w:tab/>
        </w:r>
        <w:r>
          <w:rPr>
            <w:noProof/>
            <w:webHidden/>
          </w:rPr>
          <w:fldChar w:fldCharType="begin"/>
        </w:r>
        <w:r>
          <w:rPr>
            <w:noProof/>
            <w:webHidden/>
          </w:rPr>
          <w:instrText xml:space="preserve"> PAGEREF _Toc498094975 \h </w:instrText>
        </w:r>
        <w:r>
          <w:rPr>
            <w:noProof/>
            <w:webHidden/>
          </w:rPr>
        </w:r>
        <w:r>
          <w:rPr>
            <w:noProof/>
            <w:webHidden/>
          </w:rPr>
          <w:fldChar w:fldCharType="separate"/>
        </w:r>
        <w:r>
          <w:rPr>
            <w:noProof/>
            <w:webHidden/>
          </w:rPr>
          <w:t>8</w:t>
        </w:r>
        <w:r>
          <w:rPr>
            <w:noProof/>
            <w:webHidden/>
          </w:rPr>
          <w:fldChar w:fldCharType="end"/>
        </w:r>
      </w:hyperlink>
    </w:p>
    <w:p w:rsidR="002B2EBE" w:rsidRDefault="002B2EBE" w:rsidP="002B2EBE">
      <w:pPr>
        <w:pStyle w:val="TOC2"/>
        <w:rPr>
          <w:rFonts w:eastAsiaTheme="minorEastAsia" w:cstheme="minorBidi"/>
          <w:b w:val="0"/>
          <w:bCs w:val="0"/>
          <w:noProof/>
          <w:sz w:val="24"/>
          <w:szCs w:val="24"/>
          <w:lang w:eastAsia="en-GB"/>
        </w:rPr>
      </w:pPr>
      <w:hyperlink w:anchor="_Toc498094976" w:history="1">
        <w:r w:rsidRPr="00C3536D">
          <w:rPr>
            <w:rStyle w:val="Hyperlink"/>
            <w:rFonts w:ascii="Arial" w:hAnsi="Arial" w:cs="Arial"/>
            <w:noProof/>
          </w:rPr>
          <w:t>3.4</w:t>
        </w:r>
        <w:r>
          <w:rPr>
            <w:rFonts w:eastAsiaTheme="minorEastAsia" w:cstheme="minorBidi"/>
            <w:b w:val="0"/>
            <w:bCs w:val="0"/>
            <w:noProof/>
            <w:sz w:val="24"/>
            <w:szCs w:val="24"/>
            <w:lang w:eastAsia="en-GB"/>
          </w:rPr>
          <w:tab/>
        </w:r>
        <w:r w:rsidRPr="00C3536D">
          <w:rPr>
            <w:rStyle w:val="Hyperlink"/>
            <w:rFonts w:ascii="Arial" w:hAnsi="Arial" w:cs="Arial"/>
            <w:noProof/>
          </w:rPr>
          <w:t>Summary</w:t>
        </w:r>
        <w:r>
          <w:rPr>
            <w:noProof/>
            <w:webHidden/>
          </w:rPr>
          <w:tab/>
        </w:r>
      </w:hyperlink>
      <w:r>
        <w:rPr>
          <w:noProof/>
        </w:rPr>
        <w:t>8</w:t>
      </w:r>
    </w:p>
    <w:p w:rsidR="002B2EBE" w:rsidRPr="009D3BBE" w:rsidRDefault="002B2EBE" w:rsidP="002B2EBE">
      <w:pPr>
        <w:rPr>
          <w:rFonts w:ascii="Arial" w:hAnsi="Arial" w:cs="Arial"/>
          <w:sz w:val="20"/>
          <w:szCs w:val="28"/>
        </w:rPr>
      </w:pPr>
      <w:r w:rsidRPr="009D3BBE">
        <w:rPr>
          <w:rFonts w:ascii="Arial" w:hAnsi="Arial" w:cs="Arial"/>
          <w:sz w:val="20"/>
          <w:szCs w:val="28"/>
        </w:rPr>
        <w:fldChar w:fldCharType="end"/>
      </w:r>
    </w:p>
    <w:p w:rsidR="002B2EBE" w:rsidRDefault="002B2EBE" w:rsidP="002B2EBE">
      <w:pPr>
        <w:rPr>
          <w:rFonts w:ascii="Arial" w:hAnsi="Arial" w:cs="Arial"/>
          <w:sz w:val="28"/>
          <w:szCs w:val="28"/>
        </w:rPr>
      </w:pPr>
      <w:r>
        <w:rPr>
          <w:rFonts w:ascii="Arial" w:hAnsi="Arial" w:cs="Arial"/>
          <w:sz w:val="28"/>
          <w:szCs w:val="28"/>
        </w:rPr>
        <w:br w:type="page"/>
      </w:r>
    </w:p>
    <w:p w:rsidR="002B2EBE" w:rsidRPr="000858D5" w:rsidRDefault="002B2EBE" w:rsidP="002B2EBE">
      <w:pPr>
        <w:pStyle w:val="Heading1"/>
        <w:pBdr>
          <w:bottom w:val="single" w:sz="4" w:space="1" w:color="595959" w:themeColor="text1" w:themeTint="A6"/>
        </w:pBdr>
        <w:spacing w:before="360" w:after="160" w:line="259" w:lineRule="auto"/>
        <w:ind w:left="432" w:hanging="432"/>
      </w:pPr>
      <w:bookmarkStart w:id="1" w:name="_Toc498094965"/>
      <w:r>
        <w:lastRenderedPageBreak/>
        <w:t>Introduction</w:t>
      </w:r>
      <w:bookmarkEnd w:id="1"/>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2" w:name="_Toc498094966"/>
      <w:r w:rsidRPr="00FF12A9">
        <w:rPr>
          <w:rFonts w:ascii="Arial" w:hAnsi="Arial" w:cs="Arial"/>
          <w:sz w:val="24"/>
          <w:szCs w:val="24"/>
        </w:rPr>
        <w:t xml:space="preserve">Policy </w:t>
      </w:r>
      <w:r>
        <w:rPr>
          <w:rFonts w:ascii="Arial" w:hAnsi="Arial" w:cs="Arial"/>
          <w:sz w:val="24"/>
          <w:szCs w:val="24"/>
        </w:rPr>
        <w:t>s</w:t>
      </w:r>
      <w:r w:rsidRPr="00FF12A9">
        <w:rPr>
          <w:rFonts w:ascii="Arial" w:hAnsi="Arial" w:cs="Arial"/>
          <w:sz w:val="24"/>
          <w:szCs w:val="24"/>
        </w:rPr>
        <w:t>tatement</w:t>
      </w:r>
      <w:bookmarkEnd w:id="2"/>
    </w:p>
    <w:p w:rsidR="002B2EBE" w:rsidRPr="001A01D7" w:rsidRDefault="002B2EBE" w:rsidP="002B2EBE">
      <w:pPr>
        <w:rPr>
          <w:lang w:val="en-US"/>
        </w:rPr>
      </w:pPr>
    </w:p>
    <w:p w:rsidR="002B2EBE" w:rsidRPr="00FF12A9" w:rsidRDefault="002B2EBE" w:rsidP="002B2EBE">
      <w:pPr>
        <w:rPr>
          <w:lang w:val="en-US"/>
        </w:rPr>
      </w:pPr>
      <w:r w:rsidRPr="00FF12A9">
        <w:rPr>
          <w:rFonts w:ascii="Arial" w:hAnsi="Arial" w:cs="Arial"/>
          <w:lang w:val="en-US"/>
        </w:rPr>
        <w:t xml:space="preserve">The purpose of this document is to ensure that staff are aware of the requirement to adhere to the Good Practice Guidelines for GP electronic patient records v4 (GPGv4), using it as a source of reference when necessary.  </w:t>
      </w:r>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3" w:name="_Toc498094967"/>
      <w:r w:rsidRPr="00FF12A9">
        <w:rPr>
          <w:rFonts w:ascii="Arial" w:hAnsi="Arial" w:cs="Arial"/>
          <w:sz w:val="24"/>
          <w:szCs w:val="24"/>
        </w:rPr>
        <w:t>Status</w:t>
      </w:r>
      <w:bookmarkEnd w:id="3"/>
    </w:p>
    <w:p w:rsidR="002B2EBE" w:rsidRPr="00E53611" w:rsidRDefault="002B2EBE" w:rsidP="002B2EBE">
      <w:pPr>
        <w:rPr>
          <w:rFonts w:cstheme="minorHAnsi"/>
          <w:lang w:val="en-US"/>
        </w:rPr>
      </w:pPr>
    </w:p>
    <w:p w:rsidR="002B2EBE" w:rsidRPr="00FF12A9" w:rsidRDefault="002B2EBE" w:rsidP="002B2EBE">
      <w:pPr>
        <w:rPr>
          <w:rFonts w:ascii="Arial" w:hAnsi="Arial" w:cs="Arial"/>
          <w:lang w:val="en-US"/>
        </w:rPr>
      </w:pPr>
      <w:r w:rsidRPr="00FF12A9">
        <w:rPr>
          <w:rFonts w:ascii="Arial" w:hAnsi="Arial" w:cs="Arial"/>
          <w:lang w:val="en-US"/>
        </w:rPr>
        <w:t>This document and any procedures contained within it are non-contractual and may be modi</w:t>
      </w:r>
      <w:r>
        <w:rPr>
          <w:rFonts w:ascii="Arial" w:hAnsi="Arial" w:cs="Arial"/>
          <w:lang w:val="en-US"/>
        </w:rPr>
        <w:t xml:space="preserve">fied or withdrawn at any time. </w:t>
      </w:r>
      <w:r w:rsidRPr="00FF12A9">
        <w:rPr>
          <w:rFonts w:ascii="Arial" w:hAnsi="Arial" w:cs="Arial"/>
          <w:lang w:val="en-US"/>
        </w:rPr>
        <w:t>For the avoidance of doubt, it does not form part of your contract of employment.</w:t>
      </w:r>
    </w:p>
    <w:p w:rsidR="002B2EBE" w:rsidRPr="00FF12A9" w:rsidRDefault="002B2EBE" w:rsidP="002B2EBE">
      <w:pPr>
        <w:rPr>
          <w:rFonts w:ascii="Arial" w:hAnsi="Arial" w:cs="Arial"/>
          <w:lang w:val="en-US"/>
        </w:rPr>
      </w:pPr>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4" w:name="_Toc498094968"/>
      <w:r w:rsidRPr="00FF12A9">
        <w:rPr>
          <w:rFonts w:ascii="Arial" w:hAnsi="Arial" w:cs="Arial"/>
          <w:sz w:val="24"/>
          <w:szCs w:val="24"/>
        </w:rPr>
        <w:t xml:space="preserve">Training and </w:t>
      </w:r>
      <w:r>
        <w:rPr>
          <w:rFonts w:ascii="Arial" w:hAnsi="Arial" w:cs="Arial"/>
          <w:sz w:val="24"/>
          <w:szCs w:val="24"/>
        </w:rPr>
        <w:t>s</w:t>
      </w:r>
      <w:r w:rsidRPr="00FF12A9">
        <w:rPr>
          <w:rFonts w:ascii="Arial" w:hAnsi="Arial" w:cs="Arial"/>
          <w:sz w:val="24"/>
          <w:szCs w:val="24"/>
        </w:rPr>
        <w:t>upport</w:t>
      </w:r>
      <w:bookmarkEnd w:id="4"/>
    </w:p>
    <w:p w:rsidR="002B2EBE" w:rsidRDefault="002B2EBE" w:rsidP="002B2EBE">
      <w:pPr>
        <w:rPr>
          <w:lang w:val="en-US"/>
        </w:rPr>
      </w:pPr>
    </w:p>
    <w:p w:rsidR="002B2EBE" w:rsidRPr="00FF12A9" w:rsidRDefault="002B2EBE" w:rsidP="002B2EBE">
      <w:pPr>
        <w:rPr>
          <w:rFonts w:ascii="Arial" w:hAnsi="Arial" w:cs="Arial"/>
          <w:lang w:val="en-US"/>
        </w:rPr>
      </w:pPr>
      <w:r>
        <w:rPr>
          <w:rFonts w:ascii="Arial" w:hAnsi="Arial" w:cs="Arial"/>
          <w:lang w:val="en-US"/>
        </w:rPr>
        <w:t>The p</w:t>
      </w:r>
      <w:r w:rsidRPr="00FF12A9">
        <w:rPr>
          <w:rFonts w:ascii="Arial" w:hAnsi="Arial" w:cs="Arial"/>
          <w:lang w:val="en-US"/>
        </w:rPr>
        <w:t xml:space="preserve">ractice will provide guidance and support to help those to whom it applies understand their rights and responsibilities </w:t>
      </w:r>
      <w:r>
        <w:rPr>
          <w:rFonts w:ascii="Arial" w:hAnsi="Arial" w:cs="Arial"/>
          <w:lang w:val="en-US"/>
        </w:rPr>
        <w:t xml:space="preserve">under this policy. </w:t>
      </w:r>
      <w:r w:rsidRPr="00FF12A9">
        <w:rPr>
          <w:rFonts w:ascii="Arial" w:hAnsi="Arial" w:cs="Arial"/>
          <w:lang w:val="en-US"/>
        </w:rPr>
        <w:t>Additional support will be provided to managers and supervisors to enable them to deal more effectively with matters arising from this policy.</w:t>
      </w:r>
    </w:p>
    <w:p w:rsidR="002B2EBE" w:rsidRDefault="002B2EBE" w:rsidP="002B2EBE">
      <w:pPr>
        <w:rPr>
          <w:lang w:val="en-US"/>
        </w:rPr>
      </w:pPr>
    </w:p>
    <w:p w:rsidR="002B2EBE" w:rsidRPr="000858D5" w:rsidRDefault="002B2EBE" w:rsidP="002B2EBE">
      <w:pPr>
        <w:pStyle w:val="Heading1"/>
        <w:pBdr>
          <w:bottom w:val="single" w:sz="4" w:space="1" w:color="595959" w:themeColor="text1" w:themeTint="A6"/>
        </w:pBdr>
        <w:spacing w:before="360" w:after="160" w:line="259" w:lineRule="auto"/>
        <w:ind w:left="432" w:hanging="432"/>
      </w:pPr>
      <w:bookmarkStart w:id="5" w:name="_Toc498094969"/>
      <w:r>
        <w:t>Scope</w:t>
      </w:r>
      <w:bookmarkEnd w:id="5"/>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6" w:name="_Toc498094970"/>
      <w:r w:rsidRPr="00FF12A9">
        <w:rPr>
          <w:rFonts w:ascii="Arial" w:hAnsi="Arial" w:cs="Arial"/>
          <w:sz w:val="24"/>
          <w:szCs w:val="24"/>
        </w:rPr>
        <w:t xml:space="preserve">Who </w:t>
      </w:r>
      <w:r>
        <w:rPr>
          <w:rFonts w:ascii="Arial" w:hAnsi="Arial" w:cs="Arial"/>
          <w:sz w:val="24"/>
          <w:szCs w:val="24"/>
        </w:rPr>
        <w:t>i</w:t>
      </w:r>
      <w:r w:rsidRPr="00FF12A9">
        <w:rPr>
          <w:rFonts w:ascii="Arial" w:hAnsi="Arial" w:cs="Arial"/>
          <w:sz w:val="24"/>
          <w:szCs w:val="24"/>
        </w:rPr>
        <w:t xml:space="preserve">t </w:t>
      </w:r>
      <w:r>
        <w:rPr>
          <w:rFonts w:ascii="Arial" w:hAnsi="Arial" w:cs="Arial"/>
          <w:sz w:val="24"/>
          <w:szCs w:val="24"/>
        </w:rPr>
        <w:t>a</w:t>
      </w:r>
      <w:r w:rsidRPr="00FF12A9">
        <w:rPr>
          <w:rFonts w:ascii="Arial" w:hAnsi="Arial" w:cs="Arial"/>
          <w:sz w:val="24"/>
          <w:szCs w:val="24"/>
        </w:rPr>
        <w:t xml:space="preserve">pplies </w:t>
      </w:r>
      <w:r>
        <w:rPr>
          <w:rFonts w:ascii="Arial" w:hAnsi="Arial" w:cs="Arial"/>
          <w:sz w:val="24"/>
          <w:szCs w:val="24"/>
        </w:rPr>
        <w:t>t</w:t>
      </w:r>
      <w:r w:rsidRPr="00FF12A9">
        <w:rPr>
          <w:rFonts w:ascii="Arial" w:hAnsi="Arial" w:cs="Arial"/>
          <w:sz w:val="24"/>
          <w:szCs w:val="24"/>
        </w:rPr>
        <w:t>o</w:t>
      </w:r>
      <w:bookmarkEnd w:id="6"/>
    </w:p>
    <w:p w:rsidR="002B2EBE" w:rsidRDefault="002B2EBE" w:rsidP="002B2EBE">
      <w:pPr>
        <w:rPr>
          <w:lang w:val="en-US"/>
        </w:rPr>
      </w:pPr>
    </w:p>
    <w:p w:rsidR="002B2EBE" w:rsidRPr="00FF12A9" w:rsidRDefault="002B2EBE" w:rsidP="002B2EBE">
      <w:pPr>
        <w:rPr>
          <w:rFonts w:ascii="Arial" w:hAnsi="Arial" w:cs="Arial"/>
          <w:lang w:val="en-US"/>
        </w:rPr>
      </w:pPr>
      <w:r w:rsidRPr="00FF12A9">
        <w:rPr>
          <w:rFonts w:ascii="Arial" w:hAnsi="Arial" w:cs="Arial"/>
          <w:lang w:val="en-US"/>
        </w:rPr>
        <w:t>This document a</w:t>
      </w:r>
      <w:r>
        <w:rPr>
          <w:rFonts w:ascii="Arial" w:hAnsi="Arial" w:cs="Arial"/>
          <w:lang w:val="en-US"/>
        </w:rPr>
        <w:t xml:space="preserve">pplies to all employees of the practice and </w:t>
      </w:r>
      <w:r w:rsidRPr="00FF12A9">
        <w:rPr>
          <w:rFonts w:ascii="Arial" w:hAnsi="Arial" w:cs="Arial"/>
          <w:lang w:val="en-US"/>
        </w:rPr>
        <w:t>other individuals performin</w:t>
      </w:r>
      <w:r>
        <w:rPr>
          <w:rFonts w:ascii="Arial" w:hAnsi="Arial" w:cs="Arial"/>
          <w:lang w:val="en-US"/>
        </w:rPr>
        <w:t>g functions in relation to the p</w:t>
      </w:r>
      <w:r w:rsidRPr="00FF12A9">
        <w:rPr>
          <w:rFonts w:ascii="Arial" w:hAnsi="Arial" w:cs="Arial"/>
          <w:lang w:val="en-US"/>
        </w:rPr>
        <w:t xml:space="preserve">ractice, such as agency workers, locums and contractors. </w:t>
      </w:r>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7" w:name="_Toc498094971"/>
      <w:r w:rsidRPr="00FF12A9">
        <w:rPr>
          <w:rFonts w:ascii="Arial" w:hAnsi="Arial" w:cs="Arial"/>
          <w:sz w:val="24"/>
          <w:szCs w:val="24"/>
        </w:rPr>
        <w:t xml:space="preserve">Why </w:t>
      </w:r>
      <w:r>
        <w:rPr>
          <w:rFonts w:ascii="Arial" w:hAnsi="Arial" w:cs="Arial"/>
          <w:sz w:val="24"/>
          <w:szCs w:val="24"/>
        </w:rPr>
        <w:t>a</w:t>
      </w:r>
      <w:r w:rsidRPr="00FF12A9">
        <w:rPr>
          <w:rFonts w:ascii="Arial" w:hAnsi="Arial" w:cs="Arial"/>
          <w:sz w:val="24"/>
          <w:szCs w:val="24"/>
        </w:rPr>
        <w:t xml:space="preserve">nd </w:t>
      </w:r>
      <w:r>
        <w:rPr>
          <w:rFonts w:ascii="Arial" w:hAnsi="Arial" w:cs="Arial"/>
          <w:sz w:val="24"/>
          <w:szCs w:val="24"/>
        </w:rPr>
        <w:t>h</w:t>
      </w:r>
      <w:r w:rsidRPr="00FF12A9">
        <w:rPr>
          <w:rFonts w:ascii="Arial" w:hAnsi="Arial" w:cs="Arial"/>
          <w:sz w:val="24"/>
          <w:szCs w:val="24"/>
        </w:rPr>
        <w:t xml:space="preserve">ow </w:t>
      </w:r>
      <w:r>
        <w:rPr>
          <w:rFonts w:ascii="Arial" w:hAnsi="Arial" w:cs="Arial"/>
          <w:sz w:val="24"/>
          <w:szCs w:val="24"/>
        </w:rPr>
        <w:t>i</w:t>
      </w:r>
      <w:r w:rsidRPr="00FF12A9">
        <w:rPr>
          <w:rFonts w:ascii="Arial" w:hAnsi="Arial" w:cs="Arial"/>
          <w:sz w:val="24"/>
          <w:szCs w:val="24"/>
        </w:rPr>
        <w:t xml:space="preserve">t </w:t>
      </w:r>
      <w:r>
        <w:rPr>
          <w:rFonts w:ascii="Arial" w:hAnsi="Arial" w:cs="Arial"/>
          <w:sz w:val="24"/>
          <w:szCs w:val="24"/>
        </w:rPr>
        <w:t>a</w:t>
      </w:r>
      <w:r w:rsidRPr="00FF12A9">
        <w:rPr>
          <w:rFonts w:ascii="Arial" w:hAnsi="Arial" w:cs="Arial"/>
          <w:sz w:val="24"/>
          <w:szCs w:val="24"/>
        </w:rPr>
        <w:t xml:space="preserve">pplies </w:t>
      </w:r>
      <w:r>
        <w:rPr>
          <w:rFonts w:ascii="Arial" w:hAnsi="Arial" w:cs="Arial"/>
          <w:sz w:val="24"/>
          <w:szCs w:val="24"/>
        </w:rPr>
        <w:t>t</w:t>
      </w:r>
      <w:r w:rsidRPr="00FF12A9">
        <w:rPr>
          <w:rFonts w:ascii="Arial" w:hAnsi="Arial" w:cs="Arial"/>
          <w:sz w:val="24"/>
          <w:szCs w:val="24"/>
        </w:rPr>
        <w:t xml:space="preserve">o </w:t>
      </w:r>
      <w:r>
        <w:rPr>
          <w:rFonts w:ascii="Arial" w:hAnsi="Arial" w:cs="Arial"/>
          <w:sz w:val="24"/>
          <w:szCs w:val="24"/>
        </w:rPr>
        <w:t>t</w:t>
      </w:r>
      <w:r w:rsidRPr="00FF12A9">
        <w:rPr>
          <w:rFonts w:ascii="Arial" w:hAnsi="Arial" w:cs="Arial"/>
          <w:sz w:val="24"/>
          <w:szCs w:val="24"/>
        </w:rPr>
        <w:t>hem</w:t>
      </w:r>
      <w:bookmarkEnd w:id="7"/>
    </w:p>
    <w:p w:rsidR="002B2EBE" w:rsidRPr="00FF12A9" w:rsidRDefault="002B2EBE" w:rsidP="002B2EBE">
      <w:pPr>
        <w:rPr>
          <w:rFonts w:cstheme="minorHAnsi"/>
          <w:lang w:val="en-US"/>
        </w:rPr>
      </w:pPr>
    </w:p>
    <w:p w:rsidR="002B2EBE" w:rsidRPr="00FF12A9" w:rsidRDefault="002B2EBE" w:rsidP="002B2EBE">
      <w:pPr>
        <w:rPr>
          <w:rFonts w:ascii="Arial" w:hAnsi="Arial" w:cs="Arial"/>
          <w:lang w:val="en-US"/>
        </w:rPr>
      </w:pPr>
      <w:r w:rsidRPr="00FF12A9">
        <w:rPr>
          <w:rFonts w:ascii="Arial" w:hAnsi="Arial" w:cs="Arial"/>
          <w:lang w:val="en-US"/>
        </w:rPr>
        <w:t xml:space="preserve">This document ensures </w:t>
      </w:r>
      <w:r>
        <w:rPr>
          <w:rFonts w:ascii="Arial" w:hAnsi="Arial" w:cs="Arial"/>
          <w:lang w:val="en-US"/>
        </w:rPr>
        <w:t xml:space="preserve">that </w:t>
      </w:r>
      <w:proofErr w:type="gramStart"/>
      <w:r w:rsidRPr="00FF12A9">
        <w:rPr>
          <w:rFonts w:ascii="Arial" w:hAnsi="Arial" w:cs="Arial"/>
          <w:lang w:val="en-US"/>
        </w:rPr>
        <w:t>staff are</w:t>
      </w:r>
      <w:proofErr w:type="gramEnd"/>
      <w:r w:rsidRPr="00FF12A9">
        <w:rPr>
          <w:rFonts w:ascii="Arial" w:hAnsi="Arial" w:cs="Arial"/>
          <w:lang w:val="en-US"/>
        </w:rPr>
        <w:t xml:space="preserve"> aware of</w:t>
      </w:r>
      <w:r>
        <w:rPr>
          <w:rFonts w:ascii="Arial" w:hAnsi="Arial" w:cs="Arial"/>
          <w:lang w:val="en-US"/>
        </w:rPr>
        <w:t xml:space="preserve"> the content of GPGv4 and how these guidelines</w:t>
      </w:r>
      <w:r w:rsidRPr="00FF12A9">
        <w:rPr>
          <w:rFonts w:ascii="Arial" w:hAnsi="Arial" w:cs="Arial"/>
          <w:lang w:val="en-US"/>
        </w:rPr>
        <w:t xml:space="preserve"> can support them in t</w:t>
      </w:r>
      <w:r>
        <w:rPr>
          <w:rFonts w:ascii="Arial" w:hAnsi="Arial" w:cs="Arial"/>
          <w:lang w:val="en-US"/>
        </w:rPr>
        <w:t>heir role within the practice. It</w:t>
      </w:r>
      <w:r w:rsidRPr="00FF12A9">
        <w:rPr>
          <w:rFonts w:ascii="Arial" w:hAnsi="Arial" w:cs="Arial"/>
          <w:lang w:val="en-US"/>
        </w:rPr>
        <w:t xml:space="preserve"> is to be read in conjunction with local and regional policies.</w:t>
      </w:r>
    </w:p>
    <w:p w:rsidR="002B2EBE" w:rsidRPr="00FF12A9" w:rsidRDefault="002B2EBE" w:rsidP="002B2EBE">
      <w:pPr>
        <w:rPr>
          <w:rFonts w:ascii="Arial" w:hAnsi="Arial" w:cs="Arial"/>
          <w:lang w:val="en-US"/>
        </w:rPr>
      </w:pPr>
    </w:p>
    <w:p w:rsidR="002B2EBE" w:rsidRDefault="002B2EBE" w:rsidP="002B2EBE">
      <w:pPr>
        <w:rPr>
          <w:rFonts w:ascii="Arial" w:hAnsi="Arial" w:cs="Arial"/>
          <w:lang w:val="en-US"/>
        </w:rPr>
      </w:pPr>
      <w:r>
        <w:rPr>
          <w:rFonts w:ascii="Arial" w:hAnsi="Arial" w:cs="Arial"/>
          <w:lang w:val="en-US"/>
        </w:rPr>
        <w:t>The p</w:t>
      </w:r>
      <w:r w:rsidRPr="00FF12A9">
        <w:rPr>
          <w:rFonts w:ascii="Arial" w:hAnsi="Arial" w:cs="Arial"/>
          <w:lang w:val="en-US"/>
        </w:rPr>
        <w:t xml:space="preserve">ractice aims to design and implement policies and procedures that meet the diverse needs of our service and workforce, ensuring that none are placed at a disadvantage over </w:t>
      </w:r>
      <w:r w:rsidRPr="00FF12A9">
        <w:rPr>
          <w:rFonts w:ascii="Arial" w:hAnsi="Arial" w:cs="Arial"/>
          <w:lang w:val="en-US"/>
        </w:rPr>
        <w:lastRenderedPageBreak/>
        <w:t>others, in accordan</w:t>
      </w:r>
      <w:r>
        <w:rPr>
          <w:rFonts w:ascii="Arial" w:hAnsi="Arial" w:cs="Arial"/>
          <w:lang w:val="en-US"/>
        </w:rPr>
        <w:t xml:space="preserve">ce with the Equality Act 2010. </w:t>
      </w:r>
      <w:r w:rsidRPr="00FF12A9">
        <w:rPr>
          <w:rFonts w:ascii="Arial" w:hAnsi="Arial" w:cs="Arial"/>
          <w:lang w:val="en-US"/>
        </w:rPr>
        <w:t xml:space="preserve">Consideration has been given to the impact </w:t>
      </w:r>
      <w:r>
        <w:rPr>
          <w:rFonts w:ascii="Arial" w:hAnsi="Arial" w:cs="Arial"/>
          <w:lang w:val="en-US"/>
        </w:rPr>
        <w:t>this policy might have in regard</w:t>
      </w:r>
      <w:r w:rsidRPr="00FF12A9">
        <w:rPr>
          <w:rFonts w:ascii="Arial" w:hAnsi="Arial" w:cs="Arial"/>
          <w:lang w:val="en-US"/>
        </w:rPr>
        <w:t xml:space="preserve"> to the individual protected characteristics of those to whom it applies.</w:t>
      </w:r>
    </w:p>
    <w:p w:rsidR="002B2EBE" w:rsidRPr="00FF12A9" w:rsidRDefault="002B2EBE" w:rsidP="002B2EBE">
      <w:pPr>
        <w:rPr>
          <w:rFonts w:ascii="Arial" w:hAnsi="Arial" w:cs="Arial"/>
          <w:lang w:val="en-US"/>
        </w:rPr>
      </w:pPr>
    </w:p>
    <w:p w:rsidR="002B2EBE" w:rsidRPr="000858D5" w:rsidRDefault="002B2EBE" w:rsidP="002B2EBE">
      <w:pPr>
        <w:pStyle w:val="Heading1"/>
        <w:pBdr>
          <w:bottom w:val="single" w:sz="4" w:space="1" w:color="595959" w:themeColor="text1" w:themeTint="A6"/>
        </w:pBdr>
        <w:spacing w:before="360" w:after="160" w:line="259" w:lineRule="auto"/>
        <w:ind w:left="432" w:hanging="432"/>
      </w:pPr>
      <w:bookmarkStart w:id="8" w:name="_Toc498094972"/>
      <w:r>
        <w:t>Policy</w:t>
      </w:r>
      <w:bookmarkEnd w:id="8"/>
    </w:p>
    <w:p w:rsidR="002B2EBE" w:rsidRPr="00FF12A9"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9" w:name="_Toc498094973"/>
      <w:r w:rsidRPr="00FF12A9">
        <w:rPr>
          <w:rFonts w:ascii="Arial" w:hAnsi="Arial" w:cs="Arial"/>
          <w:sz w:val="24"/>
          <w:szCs w:val="24"/>
        </w:rPr>
        <w:t>Overview</w:t>
      </w:r>
      <w:bookmarkEnd w:id="9"/>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The Good Practice Guidelines for GP electronic patient records v4 (GPGv4 2011)</w:t>
      </w:r>
      <w:r w:rsidRPr="00553490">
        <w:rPr>
          <w:rStyle w:val="FootnoteReference"/>
          <w:rFonts w:ascii="Arial" w:hAnsi="Arial" w:cs="Arial"/>
          <w:sz w:val="22"/>
          <w:szCs w:val="22"/>
        </w:rPr>
        <w:footnoteReference w:id="1"/>
      </w:r>
      <w:r w:rsidRPr="00553490">
        <w:rPr>
          <w:rFonts w:ascii="Arial" w:hAnsi="Arial" w:cs="Arial"/>
          <w:sz w:val="22"/>
          <w:szCs w:val="22"/>
        </w:rPr>
        <w:t xml:space="preserve"> should act as a reference source of information for all those involved in developing, deploying and using general practice IT systems. GPGv4 was written and produced by the Department of Health (DH), the Royal College of General Practitioners (RCGP) and the British Medical Association (BMA).  </w:t>
      </w:r>
      <w:proofErr w:type="spellStart"/>
      <w:r>
        <w:rPr>
          <w:rFonts w:ascii="Arial" w:hAnsi="Arial" w:cs="Arial"/>
          <w:sz w:val="22"/>
          <w:szCs w:val="22"/>
        </w:rPr>
        <w:t>Teign</w:t>
      </w:r>
      <w:proofErr w:type="spellEnd"/>
      <w:r>
        <w:rPr>
          <w:rFonts w:ascii="Arial" w:hAnsi="Arial" w:cs="Arial"/>
          <w:sz w:val="22"/>
          <w:szCs w:val="22"/>
        </w:rPr>
        <w:t xml:space="preserve"> Estuary Medical Group</w:t>
      </w:r>
      <w:r w:rsidRPr="00553490">
        <w:rPr>
          <w:rFonts w:ascii="Arial" w:hAnsi="Arial" w:cs="Arial"/>
          <w:sz w:val="22"/>
          <w:szCs w:val="22"/>
        </w:rPr>
        <w:t xml:space="preserve"> will adhere to the guidelines detailed in GPGv4, which covers the following:</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Strategic context for GPGv4</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The purpose of health records</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Clinical safety assurance</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Records governance</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Shared electronic patient records</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High-quality patient records</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Clinical coding schemes</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Data transfer &amp; interoperability</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The Personal Demographics Service</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GP2GP Electronic Record Transfer</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Data migration</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Clinical messaging</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The Summary Care Record and Emergency Care Summary</w:t>
      </w:r>
    </w:p>
    <w:p w:rsidR="002B2EBE" w:rsidRPr="00553490" w:rsidRDefault="002B2EBE" w:rsidP="002B2EBE">
      <w:pPr>
        <w:pStyle w:val="NormalWeb"/>
        <w:numPr>
          <w:ilvl w:val="0"/>
          <w:numId w:val="8"/>
        </w:numPr>
        <w:rPr>
          <w:rFonts w:ascii="Arial" w:hAnsi="Arial" w:cs="Arial"/>
          <w:sz w:val="22"/>
          <w:szCs w:val="22"/>
        </w:rPr>
      </w:pPr>
      <w:r w:rsidRPr="00553490">
        <w:rPr>
          <w:rFonts w:ascii="Arial" w:hAnsi="Arial" w:cs="Arial"/>
          <w:sz w:val="22"/>
          <w:szCs w:val="22"/>
        </w:rPr>
        <w:t>High-quality medication records and the Electronic Prescription Service</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A pathway to good paperless practice</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Electronic document attachments</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Working in an e-business environment</w:t>
      </w:r>
    </w:p>
    <w:p w:rsidR="002B2EBE" w:rsidRPr="00553490" w:rsidRDefault="002B2EBE" w:rsidP="002B2EBE">
      <w:pPr>
        <w:pStyle w:val="NormalWeb"/>
        <w:numPr>
          <w:ilvl w:val="0"/>
          <w:numId w:val="7"/>
        </w:numPr>
        <w:rPr>
          <w:rFonts w:ascii="Arial" w:hAnsi="Arial" w:cs="Arial"/>
          <w:sz w:val="22"/>
          <w:szCs w:val="22"/>
        </w:rPr>
      </w:pPr>
      <w:r w:rsidRPr="00553490">
        <w:rPr>
          <w:rFonts w:ascii="Arial" w:hAnsi="Arial" w:cs="Arial"/>
          <w:sz w:val="22"/>
          <w:szCs w:val="22"/>
        </w:rPr>
        <w:t>Education and training</w:t>
      </w:r>
    </w:p>
    <w:p w:rsidR="002B2EBE" w:rsidRPr="00553490"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10" w:name="_Toc498094974"/>
      <w:r>
        <w:rPr>
          <w:rFonts w:ascii="Arial" w:hAnsi="Arial" w:cs="Arial"/>
          <w:sz w:val="24"/>
          <w:szCs w:val="24"/>
        </w:rPr>
        <w:t>Summary of c</w:t>
      </w:r>
      <w:r w:rsidRPr="00553490">
        <w:rPr>
          <w:rFonts w:ascii="Arial" w:hAnsi="Arial" w:cs="Arial"/>
          <w:sz w:val="24"/>
          <w:szCs w:val="24"/>
        </w:rPr>
        <w:t>hapters</w:t>
      </w:r>
      <w:bookmarkEnd w:id="10"/>
    </w:p>
    <w:p w:rsidR="002B2EBE" w:rsidRDefault="002B2EBE" w:rsidP="002B2EBE">
      <w:pPr>
        <w:rPr>
          <w:rFonts w:cstheme="minorHAnsi"/>
          <w:lang w:val="en-US"/>
        </w:rPr>
      </w:pPr>
    </w:p>
    <w:p w:rsidR="002B2EBE" w:rsidRPr="00553490" w:rsidRDefault="002B2EBE" w:rsidP="002B2EBE">
      <w:pPr>
        <w:rPr>
          <w:rFonts w:ascii="Arial" w:hAnsi="Arial" w:cs="Arial"/>
        </w:rPr>
      </w:pPr>
      <w:r w:rsidRPr="00553490">
        <w:rPr>
          <w:rFonts w:ascii="Arial" w:hAnsi="Arial" w:cs="Arial"/>
        </w:rPr>
        <w:t>To facilitate ease of reference, a summary of each of the above chapters is included in this document</w:t>
      </w:r>
      <w:r w:rsidRPr="00553490">
        <w:rPr>
          <w:rStyle w:val="FootnoteReference"/>
          <w:rFonts w:ascii="Arial" w:hAnsi="Arial" w:cs="Arial"/>
        </w:rPr>
        <w:footnoteReference w:id="2"/>
      </w:r>
      <w:r w:rsidRPr="00553490">
        <w:rPr>
          <w:rFonts w:ascii="Arial" w:hAnsi="Arial" w:cs="Arial"/>
        </w:rPr>
        <w:t xml:space="preserve">. </w:t>
      </w:r>
    </w:p>
    <w:p w:rsidR="002B2EBE" w:rsidRPr="00553490" w:rsidRDefault="002B2EBE" w:rsidP="002B2EBE">
      <w:pPr>
        <w:rPr>
          <w:rFonts w:ascii="Arial" w:hAnsi="Arial" w:cs="Arial"/>
        </w:rPr>
      </w:pPr>
    </w:p>
    <w:p w:rsidR="002B2EBE" w:rsidRPr="00553490" w:rsidRDefault="002B2EBE" w:rsidP="002B2EBE">
      <w:pPr>
        <w:rPr>
          <w:rFonts w:ascii="Arial" w:hAnsi="Arial" w:cs="Arial"/>
        </w:rPr>
      </w:pPr>
      <w:r w:rsidRPr="00553490">
        <w:rPr>
          <w:rFonts w:ascii="Arial" w:hAnsi="Arial" w:cs="Arial"/>
        </w:rPr>
        <w:t>Chapter 1</w:t>
      </w:r>
    </w:p>
    <w:p w:rsidR="002B2EBE" w:rsidRPr="00553490" w:rsidRDefault="002B2EBE" w:rsidP="002B2EBE">
      <w:pPr>
        <w:pStyle w:val="NormalWeb"/>
        <w:numPr>
          <w:ilvl w:val="0"/>
          <w:numId w:val="9"/>
        </w:numPr>
        <w:rPr>
          <w:rFonts w:ascii="Arial" w:hAnsi="Arial" w:cs="Arial"/>
          <w:sz w:val="22"/>
          <w:szCs w:val="22"/>
        </w:rPr>
      </w:pPr>
      <w:r w:rsidRPr="00553490">
        <w:rPr>
          <w:rFonts w:ascii="Arial" w:hAnsi="Arial" w:cs="Arial"/>
          <w:sz w:val="22"/>
          <w:szCs w:val="22"/>
        </w:rPr>
        <w:lastRenderedPageBreak/>
        <w:t xml:space="preserve">Outlines the economic and political context in which general practice operates </w:t>
      </w:r>
    </w:p>
    <w:p w:rsidR="002B2EBE" w:rsidRPr="00553490" w:rsidRDefault="002B2EBE" w:rsidP="002B2EBE">
      <w:pPr>
        <w:pStyle w:val="NormalWeb"/>
        <w:numPr>
          <w:ilvl w:val="0"/>
          <w:numId w:val="9"/>
        </w:numPr>
        <w:rPr>
          <w:rFonts w:ascii="Arial" w:hAnsi="Arial" w:cs="Arial"/>
          <w:sz w:val="22"/>
          <w:szCs w:val="22"/>
        </w:rPr>
      </w:pPr>
      <w:r w:rsidRPr="00553490">
        <w:rPr>
          <w:rFonts w:ascii="Arial" w:hAnsi="Arial" w:cs="Arial"/>
          <w:sz w:val="22"/>
          <w:szCs w:val="22"/>
        </w:rPr>
        <w:t xml:space="preserve">Notes that good records are a requirement for the high-quality care expected by government, the public and the profession </w:t>
      </w:r>
    </w:p>
    <w:p w:rsidR="002B2EBE" w:rsidRPr="00553490" w:rsidRDefault="002B2EBE" w:rsidP="002B2EBE">
      <w:pPr>
        <w:pStyle w:val="NormalWeb"/>
        <w:numPr>
          <w:ilvl w:val="0"/>
          <w:numId w:val="9"/>
        </w:numPr>
        <w:rPr>
          <w:rFonts w:ascii="Arial" w:hAnsi="Arial" w:cs="Arial"/>
          <w:sz w:val="22"/>
          <w:szCs w:val="22"/>
        </w:rPr>
      </w:pPr>
      <w:r w:rsidRPr="00553490">
        <w:rPr>
          <w:rFonts w:ascii="Arial" w:hAnsi="Arial" w:cs="Arial"/>
          <w:sz w:val="22"/>
          <w:szCs w:val="22"/>
        </w:rPr>
        <w:t xml:space="preserve">Describes the background to the Good Practice Guidelines stating the need for professionally owned, authoritative guidance for implementers and users of GP systems </w:t>
      </w:r>
    </w:p>
    <w:p w:rsidR="002B2EBE" w:rsidRPr="00553490" w:rsidRDefault="002B2EBE" w:rsidP="002B2EBE">
      <w:pPr>
        <w:pStyle w:val="NormalWeb"/>
        <w:numPr>
          <w:ilvl w:val="0"/>
          <w:numId w:val="9"/>
        </w:numPr>
        <w:rPr>
          <w:rFonts w:ascii="Arial" w:hAnsi="Arial" w:cs="Arial"/>
          <w:sz w:val="22"/>
          <w:szCs w:val="22"/>
        </w:rPr>
      </w:pPr>
      <w:r w:rsidRPr="00553490">
        <w:rPr>
          <w:rFonts w:ascii="Arial" w:hAnsi="Arial" w:cs="Arial"/>
          <w:sz w:val="22"/>
          <w:szCs w:val="22"/>
        </w:rPr>
        <w:t xml:space="preserve">Reviews the analysis of the intended scope for these guidelines, describing how interoperability and quality are central themes </w:t>
      </w:r>
    </w:p>
    <w:p w:rsidR="002B2EBE" w:rsidRPr="00553490" w:rsidRDefault="002B2EBE" w:rsidP="002B2EBE">
      <w:pPr>
        <w:rPr>
          <w:rFonts w:ascii="Arial" w:hAnsi="Arial" w:cs="Arial"/>
        </w:rPr>
      </w:pPr>
      <w:r w:rsidRPr="00553490">
        <w:rPr>
          <w:rFonts w:ascii="Arial" w:hAnsi="Arial" w:cs="Arial"/>
        </w:rPr>
        <w:t>Chapter 2</w:t>
      </w:r>
    </w:p>
    <w:p w:rsidR="002B2EBE" w:rsidRPr="00553490" w:rsidRDefault="002B2EBE" w:rsidP="002B2EBE">
      <w:pPr>
        <w:pStyle w:val="NormalWeb"/>
        <w:numPr>
          <w:ilvl w:val="0"/>
          <w:numId w:val="10"/>
        </w:numPr>
        <w:rPr>
          <w:rFonts w:ascii="Arial" w:hAnsi="Arial" w:cs="Arial"/>
          <w:sz w:val="22"/>
          <w:szCs w:val="22"/>
        </w:rPr>
      </w:pPr>
      <w:r w:rsidRPr="00553490">
        <w:rPr>
          <w:rFonts w:ascii="Arial" w:hAnsi="Arial" w:cs="Arial"/>
          <w:sz w:val="22"/>
          <w:szCs w:val="22"/>
        </w:rPr>
        <w:t>Summarises the broad-ranging purposes of health records including:</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 xml:space="preserve">Their use for individual patient care and care of the practice population </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Their uses for administrative and contractual obligations</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Additional purposes such as governance and education</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 xml:space="preserve">Uses in other healthcare environments </w:t>
      </w:r>
    </w:p>
    <w:p w:rsidR="002B2EBE" w:rsidRPr="00553490" w:rsidRDefault="002B2EBE" w:rsidP="002B2EBE">
      <w:pPr>
        <w:rPr>
          <w:rFonts w:ascii="Arial" w:hAnsi="Arial" w:cs="Arial"/>
        </w:rPr>
      </w:pPr>
      <w:r w:rsidRPr="00553490">
        <w:rPr>
          <w:rFonts w:ascii="Arial" w:hAnsi="Arial" w:cs="Arial"/>
        </w:rPr>
        <w:t>Chapter 3</w:t>
      </w:r>
    </w:p>
    <w:p w:rsidR="002B2EBE" w:rsidRPr="00553490" w:rsidRDefault="002B2EBE" w:rsidP="002B2EBE">
      <w:pPr>
        <w:pStyle w:val="NormalWeb"/>
        <w:numPr>
          <w:ilvl w:val="0"/>
          <w:numId w:val="11"/>
        </w:numPr>
        <w:rPr>
          <w:rFonts w:ascii="Arial" w:hAnsi="Arial" w:cs="Arial"/>
          <w:sz w:val="22"/>
          <w:szCs w:val="22"/>
        </w:rPr>
      </w:pPr>
      <w:r w:rsidRPr="00553490">
        <w:rPr>
          <w:rFonts w:ascii="Arial" w:hAnsi="Arial" w:cs="Arial"/>
          <w:sz w:val="22"/>
          <w:szCs w:val="22"/>
        </w:rPr>
        <w:t xml:space="preserve">Outlines the clinical safety approach that applies across the NHS in England </w:t>
      </w:r>
    </w:p>
    <w:p w:rsidR="002B2EBE" w:rsidRPr="00553490" w:rsidRDefault="002B2EBE" w:rsidP="002B2EBE">
      <w:pPr>
        <w:pStyle w:val="NormalWeb"/>
        <w:numPr>
          <w:ilvl w:val="0"/>
          <w:numId w:val="11"/>
        </w:numPr>
        <w:rPr>
          <w:rFonts w:ascii="Arial" w:hAnsi="Arial" w:cs="Arial"/>
          <w:sz w:val="22"/>
          <w:szCs w:val="22"/>
        </w:rPr>
      </w:pPr>
      <w:r w:rsidRPr="00553490">
        <w:rPr>
          <w:rFonts w:ascii="Arial" w:hAnsi="Arial" w:cs="Arial"/>
          <w:sz w:val="22"/>
          <w:szCs w:val="22"/>
        </w:rPr>
        <w:t xml:space="preserve">Describes the way that detailed clinical safety testing may be carried out </w:t>
      </w:r>
    </w:p>
    <w:p w:rsidR="002B2EBE" w:rsidRPr="00553490" w:rsidRDefault="002B2EBE" w:rsidP="002B2EBE">
      <w:pPr>
        <w:pStyle w:val="NormalWeb"/>
        <w:numPr>
          <w:ilvl w:val="0"/>
          <w:numId w:val="11"/>
        </w:numPr>
        <w:rPr>
          <w:rFonts w:ascii="Arial" w:hAnsi="Arial" w:cs="Arial"/>
          <w:sz w:val="22"/>
          <w:szCs w:val="22"/>
        </w:rPr>
      </w:pPr>
      <w:r w:rsidRPr="00553490">
        <w:rPr>
          <w:rFonts w:ascii="Arial" w:hAnsi="Arial" w:cs="Arial"/>
          <w:sz w:val="22"/>
          <w:szCs w:val="22"/>
        </w:rPr>
        <w:t xml:space="preserve">Provides information about emerging safety standards that are relevant to clinical safety </w:t>
      </w:r>
    </w:p>
    <w:p w:rsidR="002B2EBE" w:rsidRPr="00553490" w:rsidRDefault="002B2EBE" w:rsidP="002B2EBE">
      <w:pPr>
        <w:pStyle w:val="NormalWeb"/>
        <w:numPr>
          <w:ilvl w:val="0"/>
          <w:numId w:val="11"/>
        </w:numPr>
        <w:rPr>
          <w:rFonts w:ascii="Arial" w:hAnsi="Arial" w:cs="Arial"/>
          <w:sz w:val="22"/>
          <w:szCs w:val="22"/>
        </w:rPr>
      </w:pPr>
      <w:r w:rsidRPr="00553490">
        <w:rPr>
          <w:rFonts w:ascii="Arial" w:hAnsi="Arial" w:cs="Arial"/>
          <w:sz w:val="22"/>
          <w:szCs w:val="22"/>
        </w:rPr>
        <w:t xml:space="preserve">Important in terms of health records’ interoperability </w:t>
      </w:r>
    </w:p>
    <w:p w:rsidR="002B2EBE" w:rsidRPr="00553490" w:rsidRDefault="002B2EBE" w:rsidP="002B2EBE">
      <w:pPr>
        <w:rPr>
          <w:rFonts w:ascii="Arial" w:hAnsi="Arial" w:cs="Arial"/>
        </w:rPr>
      </w:pPr>
      <w:r w:rsidRPr="00553490">
        <w:rPr>
          <w:rFonts w:ascii="Arial" w:hAnsi="Arial" w:cs="Arial"/>
        </w:rPr>
        <w:t>Chapter 4</w:t>
      </w:r>
    </w:p>
    <w:p w:rsidR="002B2EBE" w:rsidRPr="00553490" w:rsidRDefault="002B2EBE" w:rsidP="002B2EBE">
      <w:pPr>
        <w:pStyle w:val="NormalWeb"/>
        <w:numPr>
          <w:ilvl w:val="0"/>
          <w:numId w:val="12"/>
        </w:numPr>
        <w:rPr>
          <w:rFonts w:ascii="Arial" w:hAnsi="Arial" w:cs="Arial"/>
          <w:sz w:val="22"/>
          <w:szCs w:val="22"/>
        </w:rPr>
      </w:pPr>
      <w:r w:rsidRPr="00553490">
        <w:rPr>
          <w:rFonts w:ascii="Arial" w:hAnsi="Arial" w:cs="Arial"/>
          <w:sz w:val="22"/>
          <w:szCs w:val="22"/>
        </w:rPr>
        <w:t xml:space="preserve">Provides discussion and advice on the NHS IT governance framework </w:t>
      </w:r>
    </w:p>
    <w:p w:rsidR="002B2EBE" w:rsidRPr="00553490" w:rsidRDefault="002B2EBE" w:rsidP="002B2EBE">
      <w:pPr>
        <w:pStyle w:val="NormalWeb"/>
        <w:numPr>
          <w:ilvl w:val="0"/>
          <w:numId w:val="12"/>
        </w:numPr>
        <w:rPr>
          <w:rFonts w:ascii="Arial" w:hAnsi="Arial" w:cs="Arial"/>
          <w:sz w:val="22"/>
          <w:szCs w:val="22"/>
        </w:rPr>
      </w:pPr>
      <w:r w:rsidRPr="00553490">
        <w:rPr>
          <w:rFonts w:ascii="Arial" w:hAnsi="Arial" w:cs="Arial"/>
          <w:sz w:val="22"/>
          <w:szCs w:val="22"/>
        </w:rPr>
        <w:t xml:space="preserve">Lists and references all legal aspects, acts, regulations and standards that affect records governance in primary care </w:t>
      </w:r>
    </w:p>
    <w:p w:rsidR="002B2EBE" w:rsidRPr="00553490" w:rsidRDefault="002B2EBE" w:rsidP="002B2EBE">
      <w:pPr>
        <w:pStyle w:val="NormalWeb"/>
        <w:numPr>
          <w:ilvl w:val="0"/>
          <w:numId w:val="12"/>
        </w:numPr>
        <w:rPr>
          <w:rFonts w:ascii="Arial" w:hAnsi="Arial" w:cs="Arial"/>
          <w:sz w:val="22"/>
          <w:szCs w:val="22"/>
        </w:rPr>
      </w:pPr>
      <w:r w:rsidRPr="00553490">
        <w:rPr>
          <w:rFonts w:ascii="Arial" w:hAnsi="Arial" w:cs="Arial"/>
          <w:sz w:val="22"/>
          <w:szCs w:val="22"/>
        </w:rPr>
        <w:t xml:space="preserve">Discusses the issues around consent and disclosure; models, effects and implementations </w:t>
      </w:r>
    </w:p>
    <w:p w:rsidR="002B2EBE" w:rsidRPr="00553490" w:rsidRDefault="002B2EBE" w:rsidP="002B2EBE">
      <w:pPr>
        <w:pStyle w:val="NormalWeb"/>
        <w:numPr>
          <w:ilvl w:val="0"/>
          <w:numId w:val="12"/>
        </w:numPr>
        <w:rPr>
          <w:rFonts w:ascii="Arial" w:hAnsi="Arial" w:cs="Arial"/>
          <w:sz w:val="22"/>
          <w:szCs w:val="22"/>
        </w:rPr>
      </w:pPr>
      <w:r w:rsidRPr="00553490">
        <w:rPr>
          <w:rFonts w:ascii="Arial" w:hAnsi="Arial" w:cs="Arial"/>
          <w:sz w:val="22"/>
          <w:szCs w:val="22"/>
        </w:rPr>
        <w:t xml:space="preserve">Provides detailed advice on the issues arising from records retention after a patient deregisters from a practice </w:t>
      </w:r>
    </w:p>
    <w:p w:rsidR="002B2EBE" w:rsidRPr="00553490" w:rsidRDefault="002B2EBE" w:rsidP="002B2EBE">
      <w:pPr>
        <w:pStyle w:val="NormalWeb"/>
        <w:numPr>
          <w:ilvl w:val="0"/>
          <w:numId w:val="12"/>
        </w:numPr>
        <w:rPr>
          <w:rFonts w:ascii="Arial" w:hAnsi="Arial" w:cs="Arial"/>
          <w:sz w:val="22"/>
          <w:szCs w:val="22"/>
        </w:rPr>
      </w:pPr>
      <w:r w:rsidRPr="00553490">
        <w:rPr>
          <w:rFonts w:ascii="Arial" w:hAnsi="Arial" w:cs="Arial"/>
          <w:sz w:val="22"/>
          <w:szCs w:val="22"/>
        </w:rPr>
        <w:t xml:space="preserve">Outlines the origins and purposes of the NHS Information Governance Toolkit </w:t>
      </w:r>
    </w:p>
    <w:p w:rsidR="002B2EBE" w:rsidRPr="00553490" w:rsidRDefault="002B2EBE" w:rsidP="002B2EBE">
      <w:pPr>
        <w:rPr>
          <w:rFonts w:ascii="Arial" w:hAnsi="Arial" w:cs="Arial"/>
        </w:rPr>
      </w:pPr>
      <w:r w:rsidRPr="00553490">
        <w:rPr>
          <w:rFonts w:ascii="Arial" w:hAnsi="Arial" w:cs="Arial"/>
        </w:rPr>
        <w:t>Chapter 5</w:t>
      </w:r>
    </w:p>
    <w:p w:rsidR="002B2EBE" w:rsidRPr="00553490" w:rsidRDefault="002B2EBE" w:rsidP="002B2EBE">
      <w:pPr>
        <w:pStyle w:val="NormalWeb"/>
        <w:numPr>
          <w:ilvl w:val="0"/>
          <w:numId w:val="13"/>
        </w:numPr>
        <w:rPr>
          <w:rFonts w:ascii="Arial" w:hAnsi="Arial" w:cs="Arial"/>
          <w:sz w:val="22"/>
          <w:szCs w:val="22"/>
        </w:rPr>
      </w:pPr>
      <w:r w:rsidRPr="00553490">
        <w:rPr>
          <w:rFonts w:ascii="Arial" w:hAnsi="Arial" w:cs="Arial"/>
          <w:sz w:val="22"/>
          <w:szCs w:val="22"/>
        </w:rPr>
        <w:t xml:space="preserve">Describes relevant guidelines for shared electronic clinical records in primary care </w:t>
      </w:r>
    </w:p>
    <w:p w:rsidR="002B2EBE" w:rsidRPr="00553490" w:rsidRDefault="002B2EBE" w:rsidP="002B2EBE">
      <w:pPr>
        <w:pStyle w:val="NormalWeb"/>
        <w:numPr>
          <w:ilvl w:val="0"/>
          <w:numId w:val="13"/>
        </w:numPr>
        <w:rPr>
          <w:rFonts w:ascii="Arial" w:hAnsi="Arial" w:cs="Arial"/>
          <w:sz w:val="22"/>
          <w:szCs w:val="22"/>
        </w:rPr>
      </w:pPr>
      <w:r w:rsidRPr="00553490">
        <w:rPr>
          <w:rFonts w:ascii="Arial" w:hAnsi="Arial" w:cs="Arial"/>
          <w:sz w:val="22"/>
          <w:szCs w:val="22"/>
        </w:rPr>
        <w:t xml:space="preserve">Discusses and outlines the 16 principles developed in the RCGP Shared Records Professional Guidance report </w:t>
      </w:r>
    </w:p>
    <w:p w:rsidR="002B2EBE" w:rsidRPr="00553490" w:rsidRDefault="002B2EBE" w:rsidP="002B2EBE">
      <w:pPr>
        <w:pStyle w:val="NormalWeb"/>
        <w:numPr>
          <w:ilvl w:val="0"/>
          <w:numId w:val="13"/>
        </w:numPr>
        <w:rPr>
          <w:rFonts w:ascii="Arial" w:hAnsi="Arial" w:cs="Arial"/>
          <w:sz w:val="22"/>
          <w:szCs w:val="22"/>
        </w:rPr>
      </w:pPr>
      <w:r w:rsidRPr="00553490">
        <w:rPr>
          <w:rFonts w:ascii="Arial" w:hAnsi="Arial" w:cs="Arial"/>
          <w:sz w:val="22"/>
          <w:szCs w:val="22"/>
        </w:rPr>
        <w:t xml:space="preserve">Discusses governance, medico-legal and patient safety aspects </w:t>
      </w:r>
    </w:p>
    <w:p w:rsidR="002B2EBE" w:rsidRPr="00553490" w:rsidRDefault="002B2EBE" w:rsidP="002B2EBE">
      <w:pPr>
        <w:pStyle w:val="NormalWeb"/>
        <w:numPr>
          <w:ilvl w:val="0"/>
          <w:numId w:val="13"/>
        </w:numPr>
        <w:rPr>
          <w:rFonts w:ascii="Arial" w:hAnsi="Arial" w:cs="Arial"/>
          <w:sz w:val="22"/>
          <w:szCs w:val="22"/>
        </w:rPr>
      </w:pPr>
      <w:r w:rsidRPr="00553490">
        <w:rPr>
          <w:rFonts w:ascii="Arial" w:hAnsi="Arial" w:cs="Arial"/>
          <w:sz w:val="22"/>
          <w:szCs w:val="22"/>
        </w:rPr>
        <w:t xml:space="preserve">Considers the implications of sharing health data and records with patients with respect to benefits and governance </w:t>
      </w:r>
    </w:p>
    <w:p w:rsidR="002B2EBE" w:rsidRPr="00553490" w:rsidRDefault="002B2EBE" w:rsidP="002B2EBE">
      <w:pPr>
        <w:rPr>
          <w:rFonts w:ascii="Arial" w:hAnsi="Arial" w:cs="Arial"/>
        </w:rPr>
      </w:pPr>
      <w:r w:rsidRPr="00553490">
        <w:rPr>
          <w:rFonts w:ascii="Arial" w:hAnsi="Arial" w:cs="Arial"/>
        </w:rPr>
        <w:t>Chapter 6</w:t>
      </w:r>
    </w:p>
    <w:p w:rsidR="002B2EBE" w:rsidRPr="00553490" w:rsidRDefault="002B2EBE" w:rsidP="002B2EBE">
      <w:pPr>
        <w:pStyle w:val="NormalWeb"/>
        <w:numPr>
          <w:ilvl w:val="0"/>
          <w:numId w:val="14"/>
        </w:numPr>
        <w:rPr>
          <w:rFonts w:ascii="Arial" w:hAnsi="Arial" w:cs="Arial"/>
          <w:sz w:val="22"/>
          <w:szCs w:val="22"/>
        </w:rPr>
      </w:pPr>
      <w:r w:rsidRPr="00553490">
        <w:rPr>
          <w:rFonts w:ascii="Arial" w:hAnsi="Arial" w:cs="Arial"/>
          <w:sz w:val="22"/>
          <w:szCs w:val="22"/>
        </w:rPr>
        <w:t xml:space="preserve">Provides guidance on high-quality patient records </w:t>
      </w:r>
    </w:p>
    <w:p w:rsidR="002B2EBE" w:rsidRPr="00553490" w:rsidRDefault="002B2EBE" w:rsidP="002B2EBE">
      <w:pPr>
        <w:pStyle w:val="NormalWeb"/>
        <w:numPr>
          <w:ilvl w:val="0"/>
          <w:numId w:val="14"/>
        </w:numPr>
        <w:rPr>
          <w:rFonts w:ascii="Arial" w:hAnsi="Arial" w:cs="Arial"/>
          <w:sz w:val="22"/>
          <w:szCs w:val="22"/>
        </w:rPr>
      </w:pPr>
      <w:r w:rsidRPr="00553490">
        <w:rPr>
          <w:rFonts w:ascii="Arial" w:hAnsi="Arial" w:cs="Arial"/>
          <w:sz w:val="22"/>
          <w:szCs w:val="22"/>
        </w:rPr>
        <w:t xml:space="preserve">Discusses the importance of data quality with respect to the multiple different uses of GP data and the effects of different contexts </w:t>
      </w:r>
    </w:p>
    <w:p w:rsidR="002B2EBE" w:rsidRPr="00553490" w:rsidRDefault="002B2EBE" w:rsidP="002B2EBE">
      <w:pPr>
        <w:pStyle w:val="NormalWeb"/>
        <w:numPr>
          <w:ilvl w:val="0"/>
          <w:numId w:val="14"/>
        </w:numPr>
        <w:rPr>
          <w:rFonts w:ascii="Arial" w:hAnsi="Arial" w:cs="Arial"/>
          <w:sz w:val="22"/>
          <w:szCs w:val="22"/>
        </w:rPr>
      </w:pPr>
      <w:r w:rsidRPr="00553490">
        <w:rPr>
          <w:rFonts w:ascii="Arial" w:hAnsi="Arial" w:cs="Arial"/>
          <w:sz w:val="22"/>
          <w:szCs w:val="22"/>
        </w:rPr>
        <w:t xml:space="preserve">Discusses methods and issues that affect the quality of data recording, including: </w:t>
      </w:r>
    </w:p>
    <w:p w:rsidR="002B2EBE" w:rsidRPr="00553490" w:rsidRDefault="002B2EBE" w:rsidP="002B2EBE">
      <w:pPr>
        <w:pStyle w:val="NormalWeb"/>
        <w:ind w:left="720"/>
        <w:rPr>
          <w:rFonts w:ascii="Arial" w:hAnsi="Arial" w:cs="Arial"/>
          <w:sz w:val="22"/>
          <w:szCs w:val="22"/>
        </w:rPr>
      </w:pPr>
      <w:proofErr w:type="gramStart"/>
      <w:r w:rsidRPr="00553490">
        <w:rPr>
          <w:rFonts w:ascii="Arial" w:hAnsi="Arial" w:cs="Arial"/>
          <w:sz w:val="22"/>
          <w:szCs w:val="22"/>
        </w:rPr>
        <w:lastRenderedPageBreak/>
        <w:t>o</w:t>
      </w:r>
      <w:proofErr w:type="gramEnd"/>
      <w:r w:rsidRPr="00553490">
        <w:rPr>
          <w:rFonts w:ascii="Arial" w:hAnsi="Arial" w:cs="Arial"/>
          <w:sz w:val="22"/>
          <w:szCs w:val="22"/>
        </w:rPr>
        <w:t xml:space="preserve"> Coding and record structures</w:t>
      </w:r>
      <w:r w:rsidRPr="00553490">
        <w:rPr>
          <w:rFonts w:ascii="Arial" w:hAnsi="Arial" w:cs="Arial"/>
          <w:sz w:val="22"/>
          <w:szCs w:val="22"/>
        </w:rPr>
        <w:br/>
        <w:t>o Patient review of records</w:t>
      </w:r>
      <w:r w:rsidRPr="00553490">
        <w:rPr>
          <w:rFonts w:ascii="Arial" w:hAnsi="Arial" w:cs="Arial"/>
          <w:sz w:val="22"/>
          <w:szCs w:val="22"/>
        </w:rPr>
        <w:br/>
        <w:t>o Common sources of errors</w:t>
      </w:r>
      <w:r w:rsidRPr="00553490">
        <w:rPr>
          <w:rFonts w:ascii="Arial" w:hAnsi="Arial" w:cs="Arial"/>
          <w:sz w:val="22"/>
          <w:szCs w:val="22"/>
        </w:rPr>
        <w:br/>
        <w:t xml:space="preserve">o Processing of received external information </w:t>
      </w:r>
    </w:p>
    <w:p w:rsidR="002B2EBE" w:rsidRPr="00553490" w:rsidRDefault="002B2EBE" w:rsidP="002B2EBE">
      <w:pPr>
        <w:pStyle w:val="NormalWeb"/>
        <w:numPr>
          <w:ilvl w:val="0"/>
          <w:numId w:val="14"/>
        </w:numPr>
        <w:rPr>
          <w:rFonts w:ascii="Arial" w:hAnsi="Arial" w:cs="Arial"/>
          <w:sz w:val="22"/>
          <w:szCs w:val="22"/>
        </w:rPr>
      </w:pPr>
      <w:r w:rsidRPr="00553490">
        <w:rPr>
          <w:rFonts w:ascii="Arial" w:hAnsi="Arial" w:cs="Arial"/>
          <w:sz w:val="22"/>
          <w:szCs w:val="22"/>
        </w:rPr>
        <w:t xml:space="preserve">Explains and elaborates on the CARAT acronym for assessing data quality </w:t>
      </w:r>
    </w:p>
    <w:p w:rsidR="002B2EBE" w:rsidRPr="00553490" w:rsidRDefault="002B2EBE" w:rsidP="002B2EBE">
      <w:pPr>
        <w:pStyle w:val="NormalWeb"/>
        <w:numPr>
          <w:ilvl w:val="0"/>
          <w:numId w:val="14"/>
        </w:numPr>
        <w:rPr>
          <w:rFonts w:ascii="Arial" w:hAnsi="Arial" w:cs="Arial"/>
          <w:sz w:val="22"/>
          <w:szCs w:val="22"/>
        </w:rPr>
      </w:pPr>
      <w:r w:rsidRPr="00553490">
        <w:rPr>
          <w:rFonts w:ascii="Arial" w:hAnsi="Arial" w:cs="Arial"/>
          <w:sz w:val="22"/>
          <w:szCs w:val="22"/>
        </w:rPr>
        <w:t xml:space="preserve">The effects of data quality in shared, detailed electronic records and the Summary Care Record </w:t>
      </w:r>
    </w:p>
    <w:p w:rsidR="002B2EBE" w:rsidRPr="00553490" w:rsidRDefault="002B2EBE" w:rsidP="002B2EBE">
      <w:pPr>
        <w:rPr>
          <w:rFonts w:ascii="Arial" w:hAnsi="Arial" w:cs="Arial"/>
        </w:rPr>
      </w:pPr>
      <w:r w:rsidRPr="00553490">
        <w:rPr>
          <w:rFonts w:ascii="Arial" w:hAnsi="Arial" w:cs="Arial"/>
        </w:rPr>
        <w:t>Chapter 7</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Provides an outline of the coding schemes in use in UK primary care, including:</w:t>
      </w:r>
    </w:p>
    <w:p w:rsidR="002B2EBE" w:rsidRPr="00553490" w:rsidRDefault="002B2EBE" w:rsidP="002B2EBE">
      <w:pPr>
        <w:pStyle w:val="NormalWeb"/>
        <w:numPr>
          <w:ilvl w:val="1"/>
          <w:numId w:val="15"/>
        </w:numPr>
        <w:rPr>
          <w:rFonts w:ascii="Arial" w:hAnsi="Arial" w:cs="Arial"/>
          <w:sz w:val="22"/>
          <w:szCs w:val="22"/>
        </w:rPr>
      </w:pPr>
      <w:r w:rsidRPr="00553490">
        <w:rPr>
          <w:rFonts w:ascii="Arial" w:hAnsi="Arial" w:cs="Arial"/>
          <w:sz w:val="22"/>
          <w:szCs w:val="22"/>
        </w:rPr>
        <w:t>4 Byte Read</w:t>
      </w:r>
    </w:p>
    <w:p w:rsidR="002B2EBE" w:rsidRPr="00553490" w:rsidRDefault="002B2EBE" w:rsidP="002B2EBE">
      <w:pPr>
        <w:pStyle w:val="NormalWeb"/>
        <w:numPr>
          <w:ilvl w:val="1"/>
          <w:numId w:val="15"/>
        </w:numPr>
        <w:rPr>
          <w:rFonts w:ascii="Arial" w:hAnsi="Arial" w:cs="Arial"/>
          <w:sz w:val="22"/>
          <w:szCs w:val="22"/>
        </w:rPr>
      </w:pPr>
      <w:r w:rsidRPr="00553490">
        <w:rPr>
          <w:rFonts w:ascii="Arial" w:hAnsi="Arial" w:cs="Arial"/>
          <w:sz w:val="22"/>
          <w:szCs w:val="22"/>
        </w:rPr>
        <w:t>Read Version 2 (5 Byte)</w:t>
      </w:r>
    </w:p>
    <w:p w:rsidR="002B2EBE" w:rsidRPr="00553490" w:rsidRDefault="002B2EBE" w:rsidP="002B2EBE">
      <w:pPr>
        <w:pStyle w:val="NormalWeb"/>
        <w:numPr>
          <w:ilvl w:val="1"/>
          <w:numId w:val="15"/>
        </w:numPr>
        <w:rPr>
          <w:rFonts w:ascii="Arial" w:hAnsi="Arial" w:cs="Arial"/>
          <w:sz w:val="22"/>
          <w:szCs w:val="22"/>
        </w:rPr>
      </w:pPr>
      <w:r w:rsidRPr="00553490">
        <w:rPr>
          <w:rFonts w:ascii="Arial" w:hAnsi="Arial" w:cs="Arial"/>
          <w:sz w:val="22"/>
          <w:szCs w:val="22"/>
        </w:rPr>
        <w:t>Clinical Terms Version 3 (CTV3)</w:t>
      </w:r>
    </w:p>
    <w:p w:rsidR="002B2EBE" w:rsidRPr="00553490" w:rsidRDefault="002B2EBE" w:rsidP="002B2EBE">
      <w:pPr>
        <w:pStyle w:val="NormalWeb"/>
        <w:numPr>
          <w:ilvl w:val="1"/>
          <w:numId w:val="15"/>
        </w:numPr>
        <w:rPr>
          <w:rFonts w:ascii="Arial" w:hAnsi="Arial" w:cs="Arial"/>
          <w:sz w:val="22"/>
          <w:szCs w:val="22"/>
        </w:rPr>
      </w:pPr>
      <w:r w:rsidRPr="00553490">
        <w:rPr>
          <w:rFonts w:ascii="Arial" w:hAnsi="Arial" w:cs="Arial"/>
          <w:sz w:val="22"/>
          <w:szCs w:val="22"/>
        </w:rPr>
        <w:t>SNOMED CT</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 xml:space="preserve">Describes the structures and organisation of these terminologies </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 xml:space="preserve">Reviews their origins, purposes, benefits, and actual and potential issues of their use in practice </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 xml:space="preserve">Discusses the pros and cons of using coded data or free text </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 xml:space="preserve">Reviews the use of codes in data-sharing systems including messaging and system migration </w:t>
      </w:r>
    </w:p>
    <w:p w:rsidR="002B2EBE" w:rsidRPr="00553490" w:rsidRDefault="002B2EBE" w:rsidP="002B2EBE">
      <w:pPr>
        <w:pStyle w:val="NormalWeb"/>
        <w:numPr>
          <w:ilvl w:val="0"/>
          <w:numId w:val="15"/>
        </w:numPr>
        <w:rPr>
          <w:rFonts w:ascii="Arial" w:hAnsi="Arial" w:cs="Arial"/>
          <w:sz w:val="22"/>
          <w:szCs w:val="22"/>
        </w:rPr>
      </w:pPr>
      <w:r w:rsidRPr="00553490">
        <w:rPr>
          <w:rFonts w:ascii="Arial" w:hAnsi="Arial" w:cs="Arial"/>
          <w:sz w:val="22"/>
          <w:szCs w:val="22"/>
        </w:rPr>
        <w:t xml:space="preserve">Provides guidance on preparing to move to using SNOMED CT </w:t>
      </w:r>
    </w:p>
    <w:p w:rsidR="002B2EBE" w:rsidRPr="00553490" w:rsidRDefault="002B2EBE" w:rsidP="002B2EBE">
      <w:pPr>
        <w:rPr>
          <w:rFonts w:ascii="Arial" w:hAnsi="Arial" w:cs="Arial"/>
        </w:rPr>
      </w:pPr>
      <w:r w:rsidRPr="00553490">
        <w:rPr>
          <w:rFonts w:ascii="Arial" w:hAnsi="Arial" w:cs="Arial"/>
        </w:rPr>
        <w:t>Chapter 8</w:t>
      </w:r>
    </w:p>
    <w:p w:rsidR="002B2EBE" w:rsidRPr="00553490" w:rsidRDefault="002B2EBE" w:rsidP="002B2EBE">
      <w:pPr>
        <w:pStyle w:val="NormalWeb"/>
        <w:numPr>
          <w:ilvl w:val="0"/>
          <w:numId w:val="10"/>
        </w:numPr>
        <w:rPr>
          <w:rFonts w:ascii="Arial" w:hAnsi="Arial" w:cs="Arial"/>
          <w:sz w:val="22"/>
          <w:szCs w:val="22"/>
        </w:rPr>
      </w:pPr>
      <w:r w:rsidRPr="00553490">
        <w:rPr>
          <w:rFonts w:ascii="Arial" w:hAnsi="Arial" w:cs="Arial"/>
          <w:sz w:val="22"/>
          <w:szCs w:val="22"/>
        </w:rPr>
        <w:t xml:space="preserve">Lists six sub-chapters focusing on the issues arising from data transfer and interoperability: </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8a The Personal Demographics Service</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8b GP2GP Electronic Record Transfer</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8c Data migration</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8d Clinical messaging</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8e The Summary Care Record and Emergency Care Summary</w:t>
      </w:r>
    </w:p>
    <w:p w:rsidR="002B2EBE" w:rsidRPr="00553490" w:rsidRDefault="002B2EBE" w:rsidP="002B2EBE">
      <w:pPr>
        <w:pStyle w:val="NormalWeb"/>
        <w:numPr>
          <w:ilvl w:val="1"/>
          <w:numId w:val="10"/>
        </w:numPr>
        <w:rPr>
          <w:rFonts w:ascii="Arial" w:hAnsi="Arial" w:cs="Arial"/>
          <w:sz w:val="22"/>
          <w:szCs w:val="22"/>
        </w:rPr>
      </w:pPr>
      <w:r w:rsidRPr="00553490">
        <w:rPr>
          <w:rFonts w:ascii="Arial" w:hAnsi="Arial" w:cs="Arial"/>
          <w:sz w:val="22"/>
          <w:szCs w:val="22"/>
        </w:rPr>
        <w:t>8f High-quality medication records and the Electronic Prescription Service</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Chapter 8a</w:t>
      </w:r>
    </w:p>
    <w:p w:rsidR="002B2EBE" w:rsidRPr="00553490" w:rsidRDefault="002B2EBE" w:rsidP="002B2EBE">
      <w:pPr>
        <w:pStyle w:val="NormalWeb"/>
        <w:numPr>
          <w:ilvl w:val="0"/>
          <w:numId w:val="16"/>
        </w:numPr>
        <w:rPr>
          <w:rFonts w:ascii="Arial" w:hAnsi="Arial" w:cs="Arial"/>
          <w:sz w:val="22"/>
          <w:szCs w:val="22"/>
        </w:rPr>
      </w:pPr>
      <w:r w:rsidRPr="00553490">
        <w:rPr>
          <w:rFonts w:ascii="Arial" w:hAnsi="Arial" w:cs="Arial"/>
          <w:sz w:val="22"/>
          <w:szCs w:val="22"/>
        </w:rPr>
        <w:t xml:space="preserve">Describes the PDS’s main purposes </w:t>
      </w:r>
    </w:p>
    <w:p w:rsidR="002B2EBE" w:rsidRPr="00553490" w:rsidRDefault="002B2EBE" w:rsidP="002B2EBE">
      <w:pPr>
        <w:pStyle w:val="NormalWeb"/>
        <w:numPr>
          <w:ilvl w:val="0"/>
          <w:numId w:val="16"/>
        </w:numPr>
        <w:rPr>
          <w:rFonts w:ascii="Arial" w:hAnsi="Arial" w:cs="Arial"/>
          <w:sz w:val="22"/>
          <w:szCs w:val="22"/>
        </w:rPr>
      </w:pPr>
      <w:r w:rsidRPr="00553490">
        <w:rPr>
          <w:rFonts w:ascii="Arial" w:hAnsi="Arial" w:cs="Arial"/>
          <w:sz w:val="22"/>
          <w:szCs w:val="22"/>
        </w:rPr>
        <w:t xml:space="preserve">Discusses the access &amp; security controls and arrangements in place to ensure only authorised use for intended purposes </w:t>
      </w:r>
    </w:p>
    <w:p w:rsidR="002B2EBE" w:rsidRPr="00553490" w:rsidRDefault="002B2EBE" w:rsidP="002B2EBE">
      <w:pPr>
        <w:pStyle w:val="NormalWeb"/>
        <w:numPr>
          <w:ilvl w:val="0"/>
          <w:numId w:val="16"/>
        </w:numPr>
        <w:rPr>
          <w:rFonts w:ascii="Arial" w:hAnsi="Arial" w:cs="Arial"/>
          <w:sz w:val="22"/>
          <w:szCs w:val="22"/>
        </w:rPr>
      </w:pPr>
      <w:r w:rsidRPr="00553490">
        <w:rPr>
          <w:rFonts w:ascii="Arial" w:hAnsi="Arial" w:cs="Arial"/>
          <w:sz w:val="22"/>
          <w:szCs w:val="22"/>
        </w:rPr>
        <w:t xml:space="preserve">Recommends methods for finding patients using PDS tracing functions </w:t>
      </w:r>
    </w:p>
    <w:p w:rsidR="002B2EBE" w:rsidRPr="00553490" w:rsidRDefault="002B2EBE" w:rsidP="002B2EBE">
      <w:pPr>
        <w:pStyle w:val="NormalWeb"/>
        <w:numPr>
          <w:ilvl w:val="0"/>
          <w:numId w:val="16"/>
        </w:numPr>
        <w:rPr>
          <w:rFonts w:ascii="Arial" w:hAnsi="Arial" w:cs="Arial"/>
          <w:sz w:val="22"/>
          <w:szCs w:val="22"/>
        </w:rPr>
      </w:pPr>
      <w:r w:rsidRPr="00553490">
        <w:rPr>
          <w:rFonts w:ascii="Arial" w:hAnsi="Arial" w:cs="Arial"/>
          <w:sz w:val="22"/>
          <w:szCs w:val="22"/>
        </w:rPr>
        <w:t xml:space="preserve">Recommends the use of unique NHS IDs in all patient-identifiable communications </w:t>
      </w:r>
    </w:p>
    <w:p w:rsidR="002B2EBE" w:rsidRPr="00553490" w:rsidRDefault="002B2EBE" w:rsidP="002B2EBE">
      <w:pPr>
        <w:pStyle w:val="NormalWeb"/>
        <w:numPr>
          <w:ilvl w:val="0"/>
          <w:numId w:val="16"/>
        </w:numPr>
        <w:rPr>
          <w:rFonts w:ascii="Arial" w:hAnsi="Arial" w:cs="Arial"/>
          <w:sz w:val="22"/>
          <w:szCs w:val="22"/>
        </w:rPr>
      </w:pPr>
      <w:r w:rsidRPr="00553490">
        <w:rPr>
          <w:rFonts w:ascii="Arial" w:hAnsi="Arial" w:cs="Arial"/>
          <w:sz w:val="22"/>
          <w:szCs w:val="22"/>
        </w:rPr>
        <w:t xml:space="preserve">Discusses how to ensure that PDS data is of high quality at input and maintenance </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Chapter 8b</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Provides advice and guidance on the ‘GP2GP’ service that allows the electronic transfer of patient records between practices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Describes the intended benefits of GP2GP and the reasons for its implementation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Outlines the methods by which GP2GP operates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Recognises and describes the areas where GP2GP is limited and how to mitigate these limitations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lastRenderedPageBreak/>
        <w:t xml:space="preserve">Provides specific advice on managing drug allergy records when sending and receiving these by GP2GP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Explains the handling of record attachments by GP2GP and how these can be managed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Provides explanations of the procedures for workflow practices when using GP2GP </w:t>
      </w:r>
    </w:p>
    <w:p w:rsidR="002B2EBE" w:rsidRPr="00553490" w:rsidRDefault="002B2EBE" w:rsidP="002B2EBE">
      <w:pPr>
        <w:pStyle w:val="NormalWeb"/>
        <w:numPr>
          <w:ilvl w:val="0"/>
          <w:numId w:val="17"/>
        </w:numPr>
        <w:rPr>
          <w:rFonts w:ascii="Arial" w:hAnsi="Arial" w:cs="Arial"/>
          <w:sz w:val="22"/>
          <w:szCs w:val="22"/>
        </w:rPr>
      </w:pPr>
      <w:r w:rsidRPr="00553490">
        <w:rPr>
          <w:rFonts w:ascii="Arial" w:hAnsi="Arial" w:cs="Arial"/>
          <w:sz w:val="22"/>
          <w:szCs w:val="22"/>
        </w:rPr>
        <w:t xml:space="preserve">Includes a discussion of training issues, record validation and the continued impact of non-computerised practices </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Chapter 8c</w:t>
      </w:r>
    </w:p>
    <w:p w:rsidR="002B2EBE" w:rsidRPr="00553490" w:rsidRDefault="002B2EBE" w:rsidP="002B2EBE">
      <w:pPr>
        <w:pStyle w:val="NormalWeb"/>
        <w:numPr>
          <w:ilvl w:val="0"/>
          <w:numId w:val="18"/>
        </w:numPr>
        <w:rPr>
          <w:rFonts w:ascii="Arial" w:hAnsi="Arial" w:cs="Arial"/>
          <w:sz w:val="22"/>
          <w:szCs w:val="22"/>
        </w:rPr>
      </w:pPr>
      <w:r w:rsidRPr="00553490">
        <w:rPr>
          <w:rFonts w:ascii="Arial" w:hAnsi="Arial" w:cs="Arial"/>
          <w:sz w:val="22"/>
          <w:szCs w:val="22"/>
        </w:rPr>
        <w:t xml:space="preserve">Describes the Data Migration Improvement Project </w:t>
      </w:r>
    </w:p>
    <w:p w:rsidR="002B2EBE" w:rsidRPr="00553490" w:rsidRDefault="002B2EBE" w:rsidP="002B2EBE">
      <w:pPr>
        <w:pStyle w:val="NormalWeb"/>
        <w:numPr>
          <w:ilvl w:val="0"/>
          <w:numId w:val="18"/>
        </w:numPr>
        <w:rPr>
          <w:rFonts w:ascii="Arial" w:hAnsi="Arial" w:cs="Arial"/>
          <w:sz w:val="22"/>
          <w:szCs w:val="22"/>
        </w:rPr>
      </w:pPr>
      <w:r w:rsidRPr="00553490">
        <w:rPr>
          <w:rFonts w:ascii="Arial" w:hAnsi="Arial" w:cs="Arial"/>
          <w:sz w:val="22"/>
          <w:szCs w:val="22"/>
        </w:rPr>
        <w:t xml:space="preserve">Outlines the data migration processes used when migrating data between GP systems including those from different suppliers </w:t>
      </w:r>
    </w:p>
    <w:p w:rsidR="002B2EBE" w:rsidRPr="00553490" w:rsidRDefault="002B2EBE" w:rsidP="002B2EBE">
      <w:pPr>
        <w:pStyle w:val="NormalWeb"/>
        <w:numPr>
          <w:ilvl w:val="0"/>
          <w:numId w:val="18"/>
        </w:numPr>
        <w:rPr>
          <w:rFonts w:ascii="Arial" w:hAnsi="Arial" w:cs="Arial"/>
          <w:sz w:val="22"/>
          <w:szCs w:val="22"/>
        </w:rPr>
      </w:pPr>
      <w:r w:rsidRPr="00553490">
        <w:rPr>
          <w:rFonts w:ascii="Arial" w:hAnsi="Arial" w:cs="Arial"/>
          <w:sz w:val="22"/>
          <w:szCs w:val="22"/>
        </w:rPr>
        <w:t xml:space="preserve">Describes how to handle exceptions and review target system data </w:t>
      </w:r>
    </w:p>
    <w:p w:rsidR="002B2EBE" w:rsidRPr="00553490" w:rsidRDefault="002B2EBE" w:rsidP="002B2EBE">
      <w:pPr>
        <w:pStyle w:val="NormalWeb"/>
        <w:numPr>
          <w:ilvl w:val="0"/>
          <w:numId w:val="18"/>
        </w:numPr>
        <w:rPr>
          <w:rFonts w:ascii="Arial" w:hAnsi="Arial" w:cs="Arial"/>
          <w:sz w:val="22"/>
          <w:szCs w:val="22"/>
        </w:rPr>
      </w:pPr>
      <w:r w:rsidRPr="00553490">
        <w:rPr>
          <w:rFonts w:ascii="Arial" w:hAnsi="Arial" w:cs="Arial"/>
          <w:sz w:val="22"/>
          <w:szCs w:val="22"/>
        </w:rPr>
        <w:t xml:space="preserve">Advises on the requirements for final sign-off in data migration projects </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Chapter 8d</w:t>
      </w:r>
    </w:p>
    <w:p w:rsidR="002B2EBE" w:rsidRPr="00553490" w:rsidRDefault="002B2EBE" w:rsidP="002B2EBE">
      <w:pPr>
        <w:pStyle w:val="NormalWeb"/>
        <w:numPr>
          <w:ilvl w:val="0"/>
          <w:numId w:val="19"/>
        </w:numPr>
        <w:rPr>
          <w:rFonts w:ascii="Arial" w:hAnsi="Arial" w:cs="Arial"/>
          <w:sz w:val="22"/>
          <w:szCs w:val="22"/>
        </w:rPr>
      </w:pPr>
      <w:r w:rsidRPr="00553490">
        <w:rPr>
          <w:rFonts w:ascii="Arial" w:hAnsi="Arial" w:cs="Arial"/>
          <w:sz w:val="22"/>
          <w:szCs w:val="22"/>
        </w:rPr>
        <w:t xml:space="preserve">Addresses and discusses the background to clinical messaging to and from GP systems </w:t>
      </w:r>
    </w:p>
    <w:p w:rsidR="002B2EBE" w:rsidRPr="00553490" w:rsidRDefault="002B2EBE" w:rsidP="002B2EBE">
      <w:pPr>
        <w:pStyle w:val="NormalWeb"/>
        <w:numPr>
          <w:ilvl w:val="0"/>
          <w:numId w:val="19"/>
        </w:numPr>
        <w:rPr>
          <w:rFonts w:ascii="Arial" w:hAnsi="Arial" w:cs="Arial"/>
          <w:sz w:val="22"/>
          <w:szCs w:val="22"/>
        </w:rPr>
      </w:pPr>
      <w:r w:rsidRPr="00553490">
        <w:rPr>
          <w:rFonts w:ascii="Arial" w:hAnsi="Arial" w:cs="Arial"/>
          <w:sz w:val="22"/>
          <w:szCs w:val="22"/>
        </w:rPr>
        <w:t xml:space="preserve">Provides advice on how clinicians should assess new clinical messaging facilities </w:t>
      </w:r>
    </w:p>
    <w:p w:rsidR="002B2EBE" w:rsidRPr="00553490" w:rsidRDefault="002B2EBE" w:rsidP="002B2EBE">
      <w:pPr>
        <w:pStyle w:val="NormalWeb"/>
        <w:numPr>
          <w:ilvl w:val="0"/>
          <w:numId w:val="19"/>
        </w:numPr>
        <w:rPr>
          <w:rFonts w:ascii="Arial" w:hAnsi="Arial" w:cs="Arial"/>
          <w:sz w:val="22"/>
          <w:szCs w:val="22"/>
        </w:rPr>
      </w:pPr>
      <w:r w:rsidRPr="00553490">
        <w:rPr>
          <w:rFonts w:ascii="Arial" w:hAnsi="Arial" w:cs="Arial"/>
          <w:sz w:val="22"/>
          <w:szCs w:val="22"/>
        </w:rPr>
        <w:t xml:space="preserve">Outlines the processes involved in handling clinical messaging data transfers </w:t>
      </w:r>
    </w:p>
    <w:p w:rsidR="002B2EBE" w:rsidRPr="00553490" w:rsidRDefault="002B2EBE" w:rsidP="002B2EBE">
      <w:pPr>
        <w:pStyle w:val="NormalWeb"/>
        <w:numPr>
          <w:ilvl w:val="0"/>
          <w:numId w:val="19"/>
        </w:numPr>
        <w:rPr>
          <w:rFonts w:ascii="Arial" w:hAnsi="Arial" w:cs="Arial"/>
          <w:sz w:val="22"/>
          <w:szCs w:val="22"/>
        </w:rPr>
      </w:pPr>
      <w:r w:rsidRPr="00553490">
        <w:rPr>
          <w:rFonts w:ascii="Arial" w:hAnsi="Arial" w:cs="Arial"/>
          <w:sz w:val="22"/>
          <w:szCs w:val="22"/>
        </w:rPr>
        <w:t xml:space="preserve">Provides specific advice for practices on pathology messaging </w:t>
      </w:r>
    </w:p>
    <w:p w:rsidR="002B2EBE" w:rsidRPr="00553490" w:rsidRDefault="002B2EBE" w:rsidP="002B2EBE">
      <w:pPr>
        <w:pStyle w:val="NormalWeb"/>
        <w:numPr>
          <w:ilvl w:val="0"/>
          <w:numId w:val="19"/>
        </w:numPr>
        <w:rPr>
          <w:rFonts w:ascii="Arial" w:hAnsi="Arial" w:cs="Arial"/>
          <w:sz w:val="22"/>
          <w:szCs w:val="22"/>
        </w:rPr>
      </w:pPr>
      <w:r w:rsidRPr="00553490">
        <w:rPr>
          <w:rFonts w:ascii="Arial" w:hAnsi="Arial" w:cs="Arial"/>
          <w:sz w:val="22"/>
          <w:szCs w:val="22"/>
        </w:rPr>
        <w:t xml:space="preserve">Discusses possible future implementations of messaging systems </w:t>
      </w:r>
    </w:p>
    <w:p w:rsidR="002B2EBE" w:rsidRPr="00553490" w:rsidRDefault="002B2EBE" w:rsidP="002B2EBE">
      <w:pPr>
        <w:rPr>
          <w:rFonts w:ascii="Arial" w:hAnsi="Arial" w:cs="Arial"/>
        </w:rPr>
      </w:pPr>
      <w:r w:rsidRPr="00553490">
        <w:rPr>
          <w:rFonts w:ascii="Arial" w:hAnsi="Arial" w:cs="Arial"/>
        </w:rPr>
        <w:t>Chapter 8e</w:t>
      </w:r>
    </w:p>
    <w:p w:rsidR="002B2EBE" w:rsidRPr="00553490" w:rsidRDefault="002B2EBE" w:rsidP="002B2EBE">
      <w:pPr>
        <w:pStyle w:val="NormalWeb"/>
        <w:numPr>
          <w:ilvl w:val="0"/>
          <w:numId w:val="20"/>
        </w:numPr>
        <w:rPr>
          <w:rFonts w:ascii="Arial" w:hAnsi="Arial" w:cs="Arial"/>
          <w:sz w:val="22"/>
          <w:szCs w:val="22"/>
        </w:rPr>
      </w:pPr>
      <w:r w:rsidRPr="00553490">
        <w:rPr>
          <w:rFonts w:ascii="Arial" w:hAnsi="Arial" w:cs="Arial"/>
          <w:sz w:val="22"/>
          <w:szCs w:val="22"/>
        </w:rPr>
        <w:t xml:space="preserve">The Summary Care Record (SCR) in England and the Emergency Care Summary (ECS) in Scotland are designed to assist in the care of patients in urgent and emergency care settings </w:t>
      </w:r>
    </w:p>
    <w:p w:rsidR="002B2EBE" w:rsidRPr="00553490" w:rsidRDefault="002B2EBE" w:rsidP="002B2EBE">
      <w:pPr>
        <w:pStyle w:val="NormalWeb"/>
        <w:numPr>
          <w:ilvl w:val="0"/>
          <w:numId w:val="20"/>
        </w:numPr>
        <w:rPr>
          <w:rFonts w:ascii="Arial" w:hAnsi="Arial" w:cs="Arial"/>
          <w:sz w:val="22"/>
          <w:szCs w:val="22"/>
        </w:rPr>
      </w:pPr>
      <w:r w:rsidRPr="00553490">
        <w:rPr>
          <w:rFonts w:ascii="Arial" w:hAnsi="Arial" w:cs="Arial"/>
          <w:sz w:val="22"/>
          <w:szCs w:val="22"/>
        </w:rPr>
        <w:t xml:space="preserve">Discusses and details the two consent models used, comparing and contrasting their similarities and differences </w:t>
      </w:r>
    </w:p>
    <w:p w:rsidR="002B2EBE" w:rsidRPr="00553490" w:rsidRDefault="002B2EBE" w:rsidP="002B2EBE">
      <w:pPr>
        <w:pStyle w:val="NormalWeb"/>
        <w:numPr>
          <w:ilvl w:val="0"/>
          <w:numId w:val="20"/>
        </w:numPr>
        <w:rPr>
          <w:rFonts w:ascii="Arial" w:hAnsi="Arial" w:cs="Arial"/>
          <w:sz w:val="22"/>
          <w:szCs w:val="22"/>
        </w:rPr>
      </w:pPr>
      <w:r w:rsidRPr="00553490">
        <w:rPr>
          <w:rFonts w:ascii="Arial" w:hAnsi="Arial" w:cs="Arial"/>
          <w:sz w:val="22"/>
          <w:szCs w:val="22"/>
        </w:rPr>
        <w:t xml:space="preserve">Examines how data quality impacts on these services and advises on how this can be improved and maintained </w:t>
      </w:r>
    </w:p>
    <w:p w:rsidR="002B2EBE" w:rsidRPr="00553490" w:rsidRDefault="002B2EBE" w:rsidP="002B2EBE">
      <w:pPr>
        <w:pStyle w:val="NormalWeb"/>
        <w:numPr>
          <w:ilvl w:val="0"/>
          <w:numId w:val="20"/>
        </w:numPr>
        <w:rPr>
          <w:rFonts w:ascii="Arial" w:hAnsi="Arial" w:cs="Arial"/>
          <w:sz w:val="22"/>
          <w:szCs w:val="22"/>
        </w:rPr>
      </w:pPr>
      <w:r w:rsidRPr="00553490">
        <w:rPr>
          <w:rFonts w:ascii="Arial" w:hAnsi="Arial" w:cs="Arial"/>
          <w:sz w:val="22"/>
          <w:szCs w:val="22"/>
        </w:rPr>
        <w:t xml:space="preserve">Advises on the use of NHS smart cards and how they apply to accessing and updating the SCR, and the importance of ensuring all clinical users employ them </w:t>
      </w:r>
    </w:p>
    <w:p w:rsidR="002B2EBE" w:rsidRPr="00553490" w:rsidRDefault="002B2EBE" w:rsidP="002B2EBE">
      <w:pPr>
        <w:pStyle w:val="NormalWeb"/>
        <w:numPr>
          <w:ilvl w:val="0"/>
          <w:numId w:val="20"/>
        </w:numPr>
        <w:rPr>
          <w:rFonts w:ascii="Arial" w:hAnsi="Arial" w:cs="Arial"/>
          <w:sz w:val="22"/>
          <w:szCs w:val="22"/>
        </w:rPr>
      </w:pPr>
      <w:r w:rsidRPr="00553490">
        <w:rPr>
          <w:rFonts w:ascii="Arial" w:hAnsi="Arial" w:cs="Arial"/>
          <w:sz w:val="22"/>
          <w:szCs w:val="22"/>
        </w:rPr>
        <w:t xml:space="preserve">Notes that both services are under continued development and advises users to review new guidance as it is issued </w:t>
      </w:r>
    </w:p>
    <w:p w:rsidR="002B2EBE" w:rsidRPr="00553490" w:rsidRDefault="002B2EBE" w:rsidP="002B2EBE">
      <w:pPr>
        <w:rPr>
          <w:rFonts w:ascii="Arial" w:hAnsi="Arial" w:cs="Arial"/>
        </w:rPr>
      </w:pPr>
      <w:r w:rsidRPr="00553490">
        <w:rPr>
          <w:rFonts w:ascii="Arial" w:hAnsi="Arial" w:cs="Arial"/>
        </w:rPr>
        <w:t>Chapter 8f</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Provides advice on the Electronic Prescription Service (EPS); the importance of and methods of achieving high-quality medication records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Outlines the release phases of EPS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Gives guidance on how practices should prepare for EPS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Lists the intended benefits for patients and carers, and for prescribers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Discusses the security and confidentiality measures that support EPS, including smart cards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Provides guidance on determining readiness for EPS Release 2 </w:t>
      </w:r>
    </w:p>
    <w:p w:rsidR="002B2EBE" w:rsidRPr="00553490" w:rsidRDefault="002B2EBE" w:rsidP="002B2EBE">
      <w:pPr>
        <w:pStyle w:val="NormalWeb"/>
        <w:numPr>
          <w:ilvl w:val="0"/>
          <w:numId w:val="21"/>
        </w:numPr>
        <w:rPr>
          <w:rFonts w:ascii="Arial" w:hAnsi="Arial" w:cs="Arial"/>
          <w:sz w:val="22"/>
          <w:szCs w:val="22"/>
        </w:rPr>
      </w:pPr>
      <w:r w:rsidRPr="00553490">
        <w:rPr>
          <w:rFonts w:ascii="Arial" w:hAnsi="Arial" w:cs="Arial"/>
          <w:sz w:val="22"/>
          <w:szCs w:val="22"/>
        </w:rPr>
        <w:t xml:space="preserve">Describes prescription types excluded from EPS at present </w:t>
      </w:r>
    </w:p>
    <w:p w:rsidR="002B2EBE" w:rsidRPr="00553490" w:rsidRDefault="002B2EBE" w:rsidP="002B2EBE">
      <w:pPr>
        <w:rPr>
          <w:rFonts w:ascii="Arial" w:hAnsi="Arial" w:cs="Arial"/>
        </w:rPr>
      </w:pPr>
      <w:r w:rsidRPr="00553490">
        <w:rPr>
          <w:rFonts w:ascii="Arial" w:hAnsi="Arial" w:cs="Arial"/>
        </w:rPr>
        <w:t>Chapter 9</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lastRenderedPageBreak/>
        <w:t xml:space="preserve">Provides guidance on migrating practices to ‘paperless’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Defines various levels of ‘paperless’ working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Discusses business and infrastructure requirements for practices to move to paperless working including continuity planning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Reviews potential benefits and risks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Gives guidance on using computers in the consulting room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Analysis of business processes that can be migrated to paperless working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Advice on clinical data capture and records summarising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Advice on records refinement, amendment and deletion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Contact details for GP clinical system user groups </w:t>
      </w:r>
    </w:p>
    <w:p w:rsidR="002B2EBE" w:rsidRPr="00553490" w:rsidRDefault="002B2EBE" w:rsidP="002B2EBE">
      <w:pPr>
        <w:pStyle w:val="NormalWeb"/>
        <w:numPr>
          <w:ilvl w:val="0"/>
          <w:numId w:val="22"/>
        </w:numPr>
        <w:rPr>
          <w:rFonts w:ascii="Arial" w:hAnsi="Arial" w:cs="Arial"/>
          <w:sz w:val="22"/>
          <w:szCs w:val="22"/>
        </w:rPr>
      </w:pPr>
      <w:r w:rsidRPr="00553490">
        <w:rPr>
          <w:rFonts w:ascii="Arial" w:hAnsi="Arial" w:cs="Arial"/>
          <w:sz w:val="22"/>
          <w:szCs w:val="22"/>
        </w:rPr>
        <w:t xml:space="preserve">Advice on the current requirements for the accreditation of paperless practices </w:t>
      </w:r>
    </w:p>
    <w:p w:rsidR="002B2EBE" w:rsidRPr="00553490" w:rsidRDefault="002B2EBE" w:rsidP="002B2EBE">
      <w:pPr>
        <w:rPr>
          <w:rFonts w:ascii="Arial" w:hAnsi="Arial" w:cs="Arial"/>
        </w:rPr>
      </w:pPr>
      <w:r w:rsidRPr="00553490">
        <w:rPr>
          <w:rFonts w:ascii="Arial" w:hAnsi="Arial" w:cs="Arial"/>
        </w:rPr>
        <w:t>Chapter 10</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Offers guidance on attached electronic documents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Discusses the legal status of such documents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Advises on appropriate formats and lists key principles to be applied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Reviews methods employed by systems for document storage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Outlines document categorisation to manage attribution, coding and identification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Provides pragmatic advice on document transfer with a review of methods in use today </w:t>
      </w:r>
    </w:p>
    <w:p w:rsidR="002B2EBE" w:rsidRPr="00553490" w:rsidRDefault="002B2EBE" w:rsidP="002B2EBE">
      <w:pPr>
        <w:pStyle w:val="NormalWeb"/>
        <w:numPr>
          <w:ilvl w:val="0"/>
          <w:numId w:val="23"/>
        </w:numPr>
        <w:rPr>
          <w:rFonts w:ascii="Arial" w:hAnsi="Arial" w:cs="Arial"/>
          <w:sz w:val="22"/>
          <w:szCs w:val="22"/>
        </w:rPr>
      </w:pPr>
      <w:r w:rsidRPr="00553490">
        <w:rPr>
          <w:rFonts w:ascii="Arial" w:hAnsi="Arial" w:cs="Arial"/>
          <w:sz w:val="22"/>
          <w:szCs w:val="22"/>
        </w:rPr>
        <w:t xml:space="preserve">Discusses how attachments are handled by electronic referral systems </w:t>
      </w:r>
    </w:p>
    <w:p w:rsidR="002B2EBE" w:rsidRPr="00553490" w:rsidRDefault="002B2EBE" w:rsidP="002B2EBE">
      <w:pPr>
        <w:rPr>
          <w:rFonts w:ascii="Arial" w:hAnsi="Arial" w:cs="Arial"/>
        </w:rPr>
      </w:pPr>
      <w:r w:rsidRPr="00553490">
        <w:rPr>
          <w:rFonts w:ascii="Arial" w:hAnsi="Arial" w:cs="Arial"/>
        </w:rPr>
        <w:t>Chapter 11</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Discusses how general practice fits in the broader electronic world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Reviews the NHS National Network, infrastructure and services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Offers guidance on creating and maintaining a practice website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Examines how to assess consumer e-health websites and online resources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Discusses the role of personal health records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Examines the current guidance for internet consultations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Discusses areas where internet technologies can support the business of general practice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 xml:space="preserve">Outlines requirements for protecting individual privacy and security online </w:t>
      </w:r>
    </w:p>
    <w:p w:rsidR="002B2EBE" w:rsidRPr="00553490" w:rsidRDefault="002B2EBE" w:rsidP="002B2EBE">
      <w:pPr>
        <w:pStyle w:val="NormalWeb"/>
        <w:numPr>
          <w:ilvl w:val="0"/>
          <w:numId w:val="24"/>
        </w:numPr>
        <w:rPr>
          <w:rFonts w:ascii="Arial" w:hAnsi="Arial" w:cs="Arial"/>
          <w:sz w:val="22"/>
          <w:szCs w:val="22"/>
        </w:rPr>
      </w:pPr>
      <w:r w:rsidRPr="00553490">
        <w:rPr>
          <w:rFonts w:ascii="Arial" w:hAnsi="Arial" w:cs="Arial"/>
          <w:sz w:val="22"/>
          <w:szCs w:val="22"/>
        </w:rPr>
        <w:t>Describes GP system ‘data extracts’ and requirements for practices participating in such schemes</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Chapter 12</w:t>
      </w:r>
    </w:p>
    <w:p w:rsidR="002B2EBE" w:rsidRPr="00553490" w:rsidRDefault="002B2EBE" w:rsidP="002B2EBE">
      <w:pPr>
        <w:pStyle w:val="NormalWeb"/>
        <w:numPr>
          <w:ilvl w:val="0"/>
          <w:numId w:val="25"/>
        </w:numPr>
        <w:rPr>
          <w:rFonts w:ascii="Arial" w:hAnsi="Arial" w:cs="Arial"/>
          <w:sz w:val="22"/>
          <w:szCs w:val="22"/>
        </w:rPr>
      </w:pPr>
      <w:r w:rsidRPr="00553490">
        <w:rPr>
          <w:rFonts w:ascii="Arial" w:hAnsi="Arial" w:cs="Arial"/>
          <w:sz w:val="22"/>
          <w:szCs w:val="22"/>
        </w:rPr>
        <w:t xml:space="preserve">Discusses the importance of education and training to the success of projects using IT for business change, and notes that the social and affective aspects of learning are important </w:t>
      </w:r>
    </w:p>
    <w:p w:rsidR="002B2EBE" w:rsidRPr="00553490" w:rsidRDefault="002B2EBE" w:rsidP="002B2EBE">
      <w:pPr>
        <w:pStyle w:val="NormalWeb"/>
        <w:numPr>
          <w:ilvl w:val="0"/>
          <w:numId w:val="25"/>
        </w:numPr>
        <w:rPr>
          <w:rFonts w:ascii="Arial" w:hAnsi="Arial" w:cs="Arial"/>
          <w:sz w:val="22"/>
          <w:szCs w:val="22"/>
        </w:rPr>
      </w:pPr>
      <w:r w:rsidRPr="00553490">
        <w:rPr>
          <w:rFonts w:ascii="Arial" w:hAnsi="Arial" w:cs="Arial"/>
          <w:sz w:val="22"/>
          <w:szCs w:val="22"/>
        </w:rPr>
        <w:t xml:space="preserve">Reviews learning needs in the context of shared records and interoperability and the need for system users to understand the record structures and views that apply to their clinical recording </w:t>
      </w:r>
    </w:p>
    <w:p w:rsidR="002B2EBE" w:rsidRPr="00553490" w:rsidRDefault="002B2EBE" w:rsidP="002B2EBE">
      <w:pPr>
        <w:pStyle w:val="NormalWeb"/>
        <w:numPr>
          <w:ilvl w:val="0"/>
          <w:numId w:val="25"/>
        </w:numPr>
        <w:rPr>
          <w:rFonts w:ascii="Arial" w:hAnsi="Arial" w:cs="Arial"/>
          <w:sz w:val="22"/>
          <w:szCs w:val="22"/>
        </w:rPr>
      </w:pPr>
      <w:r w:rsidRPr="00553490">
        <w:rPr>
          <w:rFonts w:ascii="Arial" w:hAnsi="Arial" w:cs="Arial"/>
          <w:sz w:val="22"/>
          <w:szCs w:val="22"/>
        </w:rPr>
        <w:t xml:space="preserve">Suggests methods for meeting learning needs with respect to individual and practice variations in competency, knowledge and systems </w:t>
      </w:r>
    </w:p>
    <w:p w:rsidR="002B2EBE" w:rsidRPr="00553490" w:rsidRDefault="002B2EBE" w:rsidP="002B2EBE">
      <w:pPr>
        <w:pStyle w:val="NormalWeb"/>
        <w:numPr>
          <w:ilvl w:val="0"/>
          <w:numId w:val="25"/>
        </w:numPr>
        <w:rPr>
          <w:rFonts w:ascii="Arial" w:hAnsi="Arial" w:cs="Arial"/>
          <w:sz w:val="22"/>
          <w:szCs w:val="22"/>
        </w:rPr>
      </w:pPr>
      <w:r w:rsidRPr="00553490">
        <w:rPr>
          <w:rFonts w:ascii="Arial" w:hAnsi="Arial" w:cs="Arial"/>
          <w:sz w:val="22"/>
          <w:szCs w:val="22"/>
        </w:rPr>
        <w:t xml:space="preserve">Emphasises the importance of interpersonal learning </w:t>
      </w:r>
    </w:p>
    <w:p w:rsidR="002B2EBE" w:rsidRPr="00553490" w:rsidRDefault="002B2EBE" w:rsidP="002B2EBE">
      <w:pPr>
        <w:pStyle w:val="NormalWeb"/>
        <w:numPr>
          <w:ilvl w:val="0"/>
          <w:numId w:val="25"/>
        </w:numPr>
        <w:rPr>
          <w:rFonts w:ascii="Arial" w:hAnsi="Arial" w:cs="Arial"/>
          <w:sz w:val="22"/>
          <w:szCs w:val="22"/>
        </w:rPr>
      </w:pPr>
      <w:r w:rsidRPr="00553490">
        <w:rPr>
          <w:rFonts w:ascii="Arial" w:hAnsi="Arial" w:cs="Arial"/>
          <w:sz w:val="22"/>
          <w:szCs w:val="22"/>
        </w:rPr>
        <w:t xml:space="preserve">Provides references to online learning resources </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The above information is detailed in the Quick Reference Guide which can be accessed using the hyperlink at footnote 2.</w:t>
      </w:r>
    </w:p>
    <w:p w:rsidR="002B2EBE" w:rsidRPr="00553490"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11" w:name="_Toc498094975"/>
      <w:r>
        <w:rPr>
          <w:rFonts w:ascii="Arial" w:hAnsi="Arial" w:cs="Arial"/>
          <w:sz w:val="24"/>
          <w:szCs w:val="24"/>
        </w:rPr>
        <w:lastRenderedPageBreak/>
        <w:t>Additional r</w:t>
      </w:r>
      <w:r w:rsidRPr="00553490">
        <w:rPr>
          <w:rFonts w:ascii="Arial" w:hAnsi="Arial" w:cs="Arial"/>
          <w:sz w:val="24"/>
          <w:szCs w:val="24"/>
        </w:rPr>
        <w:t>esources</w:t>
      </w:r>
      <w:bookmarkEnd w:id="11"/>
    </w:p>
    <w:p w:rsidR="002B2EBE" w:rsidRPr="00553490" w:rsidRDefault="002B2EBE" w:rsidP="002B2EBE">
      <w:pPr>
        <w:pStyle w:val="NormalWeb"/>
        <w:rPr>
          <w:rFonts w:ascii="Arial" w:hAnsi="Arial" w:cs="Arial"/>
          <w:sz w:val="22"/>
          <w:szCs w:val="22"/>
        </w:rPr>
      </w:pPr>
      <w:r w:rsidRPr="00553490">
        <w:rPr>
          <w:rFonts w:ascii="Arial" w:hAnsi="Arial" w:cs="Arial"/>
          <w:sz w:val="22"/>
          <w:szCs w:val="22"/>
        </w:rPr>
        <w:t>The following resources are available to supplement the information given in GPGv4:</w:t>
      </w:r>
    </w:p>
    <w:p w:rsidR="002B2EBE" w:rsidRPr="00553490" w:rsidRDefault="002B2EBE" w:rsidP="002B2EBE">
      <w:pPr>
        <w:pStyle w:val="NormalWeb"/>
        <w:rPr>
          <w:rStyle w:val="Hyperlink"/>
          <w:rFonts w:ascii="Arial" w:hAnsi="Arial" w:cs="Arial"/>
          <w:sz w:val="22"/>
          <w:szCs w:val="22"/>
        </w:rPr>
      </w:pPr>
      <w:r w:rsidRPr="00553490">
        <w:rPr>
          <w:rFonts w:ascii="Arial" w:hAnsi="Arial" w:cs="Arial"/>
          <w:sz w:val="22"/>
          <w:szCs w:val="22"/>
        </w:rPr>
        <w:fldChar w:fldCharType="begin"/>
      </w:r>
      <w:r w:rsidRPr="00553490">
        <w:rPr>
          <w:rFonts w:ascii="Arial" w:hAnsi="Arial" w:cs="Arial"/>
          <w:sz w:val="22"/>
          <w:szCs w:val="22"/>
        </w:rPr>
        <w:instrText xml:space="preserve"> HYPERLINK "https://www.england.nhs.uk/wp-content/uploads/2017/04/17-18-gms-digital-guidance.pdf" </w:instrText>
      </w:r>
      <w:r w:rsidRPr="00553490">
        <w:rPr>
          <w:rFonts w:ascii="Arial" w:hAnsi="Arial" w:cs="Arial"/>
          <w:sz w:val="22"/>
          <w:szCs w:val="22"/>
        </w:rPr>
        <w:fldChar w:fldCharType="separate"/>
      </w:r>
      <w:r w:rsidRPr="00553490">
        <w:rPr>
          <w:rStyle w:val="Hyperlink"/>
          <w:rFonts w:ascii="Arial" w:hAnsi="Arial" w:cs="Arial"/>
          <w:sz w:val="22"/>
          <w:szCs w:val="22"/>
        </w:rPr>
        <w:t>2017/18 General Medical Services Digital Guidance</w:t>
      </w:r>
    </w:p>
    <w:p w:rsidR="002B2EBE" w:rsidRPr="00553490" w:rsidRDefault="002B2EBE" w:rsidP="002B2EBE">
      <w:pPr>
        <w:pStyle w:val="NormalWeb"/>
        <w:rPr>
          <w:rFonts w:ascii="Arial" w:hAnsi="Arial" w:cs="Arial"/>
          <w:sz w:val="22"/>
          <w:szCs w:val="22"/>
        </w:rPr>
      </w:pPr>
      <w:r w:rsidRPr="00553490">
        <w:rPr>
          <w:rFonts w:ascii="Arial" w:hAnsi="Arial" w:cs="Arial"/>
          <w:sz w:val="22"/>
          <w:szCs w:val="22"/>
        </w:rPr>
        <w:fldChar w:fldCharType="end"/>
      </w:r>
      <w:hyperlink r:id="rId9" w:history="1">
        <w:r w:rsidRPr="00553490">
          <w:rPr>
            <w:rStyle w:val="Hyperlink"/>
            <w:rFonts w:ascii="Arial" w:hAnsi="Arial" w:cs="Arial"/>
            <w:sz w:val="22"/>
            <w:szCs w:val="22"/>
          </w:rPr>
          <w:t>NHS Digital GP2GP</w:t>
        </w:r>
      </w:hyperlink>
    </w:p>
    <w:p w:rsidR="002B2EBE" w:rsidRPr="00553490" w:rsidRDefault="002B2EBE" w:rsidP="002B2EBE">
      <w:pPr>
        <w:pStyle w:val="NormalWeb"/>
        <w:rPr>
          <w:rStyle w:val="Hyperlink"/>
          <w:rFonts w:ascii="Arial" w:hAnsi="Arial" w:cs="Arial"/>
          <w:sz w:val="22"/>
          <w:szCs w:val="22"/>
        </w:rPr>
      </w:pPr>
      <w:r w:rsidRPr="00553490">
        <w:rPr>
          <w:rFonts w:ascii="Arial" w:hAnsi="Arial" w:cs="Arial"/>
          <w:sz w:val="22"/>
          <w:szCs w:val="22"/>
        </w:rPr>
        <w:fldChar w:fldCharType="begin"/>
      </w:r>
      <w:r w:rsidRPr="00553490">
        <w:rPr>
          <w:rFonts w:ascii="Arial" w:hAnsi="Arial" w:cs="Arial"/>
          <w:sz w:val="22"/>
          <w:szCs w:val="22"/>
        </w:rPr>
        <w:instrText xml:space="preserve"> HYPERLINK "http://www.gmc-uk.org/static/documents/content/GMP_.pdf" </w:instrText>
      </w:r>
      <w:r w:rsidRPr="00553490">
        <w:rPr>
          <w:rFonts w:ascii="Arial" w:hAnsi="Arial" w:cs="Arial"/>
          <w:sz w:val="22"/>
          <w:szCs w:val="22"/>
        </w:rPr>
        <w:fldChar w:fldCharType="separate"/>
      </w:r>
      <w:r w:rsidRPr="00553490">
        <w:rPr>
          <w:rStyle w:val="Hyperlink"/>
          <w:rFonts w:ascii="Arial" w:hAnsi="Arial" w:cs="Arial"/>
          <w:sz w:val="22"/>
          <w:szCs w:val="22"/>
        </w:rPr>
        <w:t xml:space="preserve">Good Medical Practice 2013 (updated Apr 14) Paragraphs 19-21 </w:t>
      </w:r>
    </w:p>
    <w:p w:rsidR="002B2EBE" w:rsidRPr="00553490" w:rsidRDefault="002B2EBE" w:rsidP="002B2EBE">
      <w:pPr>
        <w:rPr>
          <w:rStyle w:val="Hyperlink"/>
          <w:rFonts w:ascii="Arial" w:hAnsi="Arial" w:cs="Arial"/>
          <w:lang w:eastAsia="en-GB"/>
        </w:rPr>
      </w:pPr>
      <w:r w:rsidRPr="00553490">
        <w:rPr>
          <w:rFonts w:ascii="Arial" w:hAnsi="Arial" w:cs="Arial"/>
          <w:lang w:eastAsia="en-GB"/>
        </w:rPr>
        <w:fldChar w:fldCharType="end"/>
      </w:r>
      <w:r w:rsidRPr="00553490">
        <w:rPr>
          <w:rFonts w:ascii="Arial" w:hAnsi="Arial" w:cs="Arial"/>
          <w:lang w:eastAsia="en-GB"/>
        </w:rPr>
        <w:fldChar w:fldCharType="begin"/>
      </w:r>
      <w:r w:rsidRPr="00553490">
        <w:rPr>
          <w:rFonts w:ascii="Arial" w:hAnsi="Arial" w:cs="Arial"/>
          <w:lang w:eastAsia="en-GB"/>
        </w:rPr>
        <w:instrText xml:space="preserve"> HYPERLINK "http://www.gmc-uk.org/guidance/ethical-guidance/confidentiality.asp" </w:instrText>
      </w:r>
      <w:r w:rsidRPr="00553490">
        <w:rPr>
          <w:rFonts w:ascii="Arial" w:hAnsi="Arial" w:cs="Arial"/>
          <w:lang w:eastAsia="en-GB"/>
        </w:rPr>
        <w:fldChar w:fldCharType="separate"/>
      </w:r>
      <w:r w:rsidRPr="00553490">
        <w:rPr>
          <w:rStyle w:val="Hyperlink"/>
          <w:rFonts w:ascii="Arial" w:hAnsi="Arial" w:cs="Arial"/>
          <w:lang w:eastAsia="en-GB"/>
        </w:rPr>
        <w:t>Confidentiality: good practice in handling patient information (2017)</w:t>
      </w:r>
    </w:p>
    <w:p w:rsidR="002B2EBE" w:rsidRPr="00553490" w:rsidRDefault="002B2EBE" w:rsidP="002B2EBE">
      <w:pPr>
        <w:rPr>
          <w:rFonts w:ascii="Arial" w:hAnsi="Arial" w:cs="Arial"/>
          <w:lang w:eastAsia="en-GB"/>
        </w:rPr>
      </w:pPr>
      <w:r w:rsidRPr="00553490">
        <w:rPr>
          <w:rFonts w:ascii="Arial" w:hAnsi="Arial" w:cs="Arial"/>
          <w:lang w:eastAsia="en-GB"/>
        </w:rPr>
        <w:fldChar w:fldCharType="end"/>
      </w:r>
    </w:p>
    <w:p w:rsidR="002B2EBE" w:rsidRPr="00553490" w:rsidRDefault="002B2EBE" w:rsidP="002B2EBE">
      <w:pPr>
        <w:pStyle w:val="Heading2"/>
        <w:numPr>
          <w:ilvl w:val="1"/>
          <w:numId w:val="0"/>
        </w:numPr>
        <w:spacing w:before="360" w:line="259" w:lineRule="auto"/>
        <w:ind w:left="576" w:hanging="576"/>
        <w:rPr>
          <w:rFonts w:ascii="Arial" w:hAnsi="Arial" w:cs="Arial"/>
          <w:smallCaps/>
          <w:sz w:val="24"/>
          <w:szCs w:val="24"/>
        </w:rPr>
      </w:pPr>
      <w:bookmarkStart w:id="12" w:name="_Toc498094976"/>
      <w:r w:rsidRPr="00553490">
        <w:rPr>
          <w:rFonts w:ascii="Arial" w:hAnsi="Arial" w:cs="Arial"/>
          <w:sz w:val="24"/>
          <w:szCs w:val="24"/>
        </w:rPr>
        <w:t>Summary</w:t>
      </w:r>
      <w:bookmarkEnd w:id="12"/>
    </w:p>
    <w:p w:rsidR="002B2EBE" w:rsidRDefault="002B2EBE" w:rsidP="002B2EBE">
      <w:pPr>
        <w:rPr>
          <w:lang w:val="en-US"/>
        </w:rPr>
      </w:pPr>
    </w:p>
    <w:p w:rsidR="002B2EBE" w:rsidRPr="00553490" w:rsidRDefault="002B2EBE" w:rsidP="002B2EBE">
      <w:pPr>
        <w:rPr>
          <w:rFonts w:ascii="Arial" w:hAnsi="Arial" w:cs="Arial"/>
          <w:lang w:eastAsia="en-GB"/>
        </w:rPr>
      </w:pPr>
      <w:r w:rsidRPr="00553490">
        <w:rPr>
          <w:rFonts w:ascii="Arial" w:hAnsi="Arial" w:cs="Arial"/>
          <w:lang w:eastAsia="en-GB"/>
        </w:rPr>
        <w:t xml:space="preserve">There is an expectation for healthcare providers to maintain good-quality medical records. At </w:t>
      </w:r>
      <w:proofErr w:type="spellStart"/>
      <w:r>
        <w:rPr>
          <w:rFonts w:ascii="Arial" w:hAnsi="Arial" w:cs="Arial"/>
          <w:lang w:eastAsia="en-GB"/>
        </w:rPr>
        <w:t>Teign</w:t>
      </w:r>
      <w:proofErr w:type="spellEnd"/>
      <w:r>
        <w:rPr>
          <w:rFonts w:ascii="Arial" w:hAnsi="Arial" w:cs="Arial"/>
          <w:lang w:eastAsia="en-GB"/>
        </w:rPr>
        <w:t xml:space="preserve"> Estuary Medical Group</w:t>
      </w:r>
      <w:r w:rsidRPr="00553490">
        <w:rPr>
          <w:rFonts w:ascii="Arial" w:hAnsi="Arial" w:cs="Arial"/>
          <w:lang w:eastAsia="en-GB"/>
        </w:rPr>
        <w:t xml:space="preserve">, all staff </w:t>
      </w:r>
      <w:proofErr w:type="gramStart"/>
      <w:r w:rsidRPr="00553490">
        <w:rPr>
          <w:rFonts w:ascii="Arial" w:hAnsi="Arial" w:cs="Arial"/>
          <w:lang w:eastAsia="en-GB"/>
        </w:rPr>
        <w:t>are</w:t>
      </w:r>
      <w:proofErr w:type="gramEnd"/>
      <w:r w:rsidRPr="00553490">
        <w:rPr>
          <w:rFonts w:ascii="Arial" w:hAnsi="Arial" w:cs="Arial"/>
          <w:lang w:eastAsia="en-GB"/>
        </w:rPr>
        <w:t xml:space="preserve"> aware that with medical record-keeping, accuracy, clarity and timeliness are essential components for effective communication between healthcare professionals and patients. The information contained in the record should be comprehensive enough to enable a colleague to carry on where you left off.  </w:t>
      </w:r>
    </w:p>
    <w:p w:rsidR="002B2EBE" w:rsidRPr="00553490" w:rsidRDefault="002B2EBE" w:rsidP="002B2EBE">
      <w:pPr>
        <w:rPr>
          <w:rFonts w:ascii="Arial" w:hAnsi="Arial" w:cs="Arial"/>
          <w:lang w:eastAsia="en-GB"/>
        </w:rPr>
      </w:pPr>
    </w:p>
    <w:p w:rsidR="002B2EBE" w:rsidRPr="00553490" w:rsidRDefault="002B2EBE" w:rsidP="002B2EBE">
      <w:pPr>
        <w:rPr>
          <w:rFonts w:ascii="Arial" w:hAnsi="Arial" w:cs="Arial"/>
          <w:lang w:eastAsia="en-GB"/>
        </w:rPr>
      </w:pPr>
      <w:r w:rsidRPr="00553490">
        <w:rPr>
          <w:rFonts w:ascii="Arial" w:hAnsi="Arial" w:cs="Arial"/>
          <w:lang w:eastAsia="en-GB"/>
        </w:rPr>
        <w:t>Any questions relating to this policy or the practice of retaining good electronic records should be directed to the undersigned in the first instance.</w:t>
      </w:r>
    </w:p>
    <w:p w:rsidR="002B2EBE" w:rsidRPr="00553490" w:rsidRDefault="002B2EBE" w:rsidP="002B2EBE">
      <w:pPr>
        <w:rPr>
          <w:rFonts w:ascii="Arial" w:hAnsi="Arial" w:cs="Arial"/>
        </w:rPr>
      </w:pPr>
    </w:p>
    <w:p w:rsidR="002B2EBE" w:rsidRDefault="002B2EBE" w:rsidP="002B2EBE">
      <w:pPr>
        <w:rPr>
          <w:rFonts w:ascii="Arial" w:hAnsi="Arial" w:cs="Arial"/>
        </w:rPr>
      </w:pPr>
    </w:p>
    <w:p w:rsidR="002B2EBE" w:rsidRPr="002B2EBE" w:rsidRDefault="002B2EBE" w:rsidP="002B2EBE">
      <w:pPr>
        <w:ind w:left="720"/>
        <w:rPr>
          <w:rFonts w:ascii="Arial" w:hAnsi="Arial" w:cs="Arial"/>
          <w:b/>
          <w:i/>
        </w:rPr>
      </w:pPr>
      <w:r w:rsidRPr="002B2EBE">
        <w:rPr>
          <w:rFonts w:ascii="Arial" w:hAnsi="Arial" w:cs="Arial"/>
          <w:b/>
          <w:i/>
        </w:rPr>
        <w:t>W Moyle</w:t>
      </w:r>
    </w:p>
    <w:p w:rsidR="002B2EBE" w:rsidRPr="002B2EBE" w:rsidRDefault="002B2EBE" w:rsidP="002B2EBE">
      <w:pPr>
        <w:rPr>
          <w:rFonts w:ascii="Arial" w:hAnsi="Arial" w:cs="Arial"/>
          <w:i/>
        </w:rPr>
      </w:pPr>
      <w:r w:rsidRPr="002B2EBE">
        <w:rPr>
          <w:rFonts w:ascii="Arial" w:hAnsi="Arial" w:cs="Arial"/>
          <w:i/>
        </w:rPr>
        <w:t>Will Moyle, Operations Manager</w:t>
      </w:r>
    </w:p>
    <w:p w:rsidR="002B2EBE" w:rsidRPr="002B2EBE" w:rsidRDefault="002B2EBE" w:rsidP="002B2EBE">
      <w:pPr>
        <w:rPr>
          <w:rFonts w:ascii="Arial" w:hAnsi="Arial" w:cs="Arial"/>
          <w:i/>
        </w:rPr>
      </w:pPr>
      <w:proofErr w:type="spellStart"/>
      <w:r w:rsidRPr="002B2EBE">
        <w:rPr>
          <w:rFonts w:ascii="Arial" w:hAnsi="Arial" w:cs="Arial"/>
          <w:i/>
        </w:rPr>
        <w:t>Teign</w:t>
      </w:r>
      <w:proofErr w:type="spellEnd"/>
      <w:r w:rsidRPr="002B2EBE">
        <w:rPr>
          <w:rFonts w:ascii="Arial" w:hAnsi="Arial" w:cs="Arial"/>
          <w:i/>
        </w:rPr>
        <w:t xml:space="preserve"> Estuary Medical Group</w:t>
      </w:r>
    </w:p>
    <w:p w:rsidR="002B2EBE" w:rsidRPr="002B2EBE" w:rsidRDefault="002B2EBE" w:rsidP="002B2EBE">
      <w:pPr>
        <w:rPr>
          <w:rFonts w:ascii="Arial" w:hAnsi="Arial" w:cs="Arial"/>
          <w:i/>
        </w:rPr>
      </w:pPr>
      <w:r w:rsidRPr="002B2EBE">
        <w:rPr>
          <w:rFonts w:ascii="Arial" w:hAnsi="Arial" w:cs="Arial"/>
          <w:i/>
        </w:rPr>
        <w:t>3</w:t>
      </w:r>
      <w:r w:rsidRPr="002B2EBE">
        <w:rPr>
          <w:rFonts w:ascii="Arial" w:hAnsi="Arial" w:cs="Arial"/>
          <w:i/>
          <w:vertAlign w:val="superscript"/>
        </w:rPr>
        <w:t>rd</w:t>
      </w:r>
      <w:r w:rsidRPr="002B2EBE">
        <w:rPr>
          <w:rFonts w:ascii="Arial" w:hAnsi="Arial" w:cs="Arial"/>
          <w:i/>
        </w:rPr>
        <w:t xml:space="preserve"> December 2018</w:t>
      </w:r>
    </w:p>
    <w:p w:rsidR="00957A3E" w:rsidRPr="00925D29" w:rsidRDefault="00957A3E" w:rsidP="002E28FA"/>
    <w:sectPr w:rsidR="00957A3E" w:rsidRPr="00925D29" w:rsidSect="002E28FA">
      <w:headerReference w:type="default" r:id="rId10"/>
      <w:footerReference w:type="default" r:id="rId11"/>
      <w:pgSz w:w="11906" w:h="16838"/>
      <w:pgMar w:top="1440" w:right="1440" w:bottom="1440" w:left="144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E8" w:rsidRDefault="00CE43E8" w:rsidP="002E28FA">
      <w:pPr>
        <w:spacing w:after="0" w:line="240" w:lineRule="auto"/>
      </w:pPr>
      <w:r>
        <w:separator/>
      </w:r>
    </w:p>
  </w:endnote>
  <w:endnote w:type="continuationSeparator" w:id="0">
    <w:p w:rsidR="00CE43E8" w:rsidRDefault="00CE43E8" w:rsidP="002E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FA" w:rsidRDefault="002B2EBE">
    <w:pPr>
      <w:pStyle w:val="Footer"/>
      <w:jc w:val="center"/>
    </w:pPr>
    <w:r>
      <w:t>Good practice guidelines for Electronic Patient Records</w:t>
    </w:r>
    <w:r w:rsidR="002E28FA">
      <w:tab/>
    </w:r>
    <w:r>
      <w:t>December 18 WM</w:t>
    </w:r>
  </w:p>
  <w:p w:rsidR="002E28FA" w:rsidRDefault="00CE43E8">
    <w:pPr>
      <w:pStyle w:val="Footer"/>
      <w:jc w:val="center"/>
    </w:pPr>
    <w:sdt>
      <w:sdtPr>
        <w:id w:val="-1987773040"/>
        <w:docPartObj>
          <w:docPartGallery w:val="Page Numbers (Bottom of Page)"/>
          <w:docPartUnique/>
        </w:docPartObj>
      </w:sdtPr>
      <w:sdtEndPr/>
      <w:sdtContent>
        <w:sdt>
          <w:sdtPr>
            <w:id w:val="-1669238322"/>
            <w:docPartObj>
              <w:docPartGallery w:val="Page Numbers (Top of Page)"/>
              <w:docPartUnique/>
            </w:docPartObj>
          </w:sdtPr>
          <w:sdtEndPr/>
          <w:sdtContent>
            <w:r w:rsidR="002E28FA">
              <w:t xml:space="preserve">Page </w:t>
            </w:r>
            <w:r w:rsidR="002E28FA">
              <w:rPr>
                <w:b/>
                <w:bCs/>
                <w:sz w:val="24"/>
                <w:szCs w:val="24"/>
              </w:rPr>
              <w:fldChar w:fldCharType="begin"/>
            </w:r>
            <w:r w:rsidR="002E28FA">
              <w:rPr>
                <w:b/>
                <w:bCs/>
              </w:rPr>
              <w:instrText xml:space="preserve"> PAGE </w:instrText>
            </w:r>
            <w:r w:rsidR="002E28FA">
              <w:rPr>
                <w:b/>
                <w:bCs/>
                <w:sz w:val="24"/>
                <w:szCs w:val="24"/>
              </w:rPr>
              <w:fldChar w:fldCharType="separate"/>
            </w:r>
            <w:r w:rsidR="002B2EBE">
              <w:rPr>
                <w:b/>
                <w:bCs/>
                <w:noProof/>
              </w:rPr>
              <w:t>2</w:t>
            </w:r>
            <w:r w:rsidR="002E28FA">
              <w:rPr>
                <w:b/>
                <w:bCs/>
                <w:sz w:val="24"/>
                <w:szCs w:val="24"/>
              </w:rPr>
              <w:fldChar w:fldCharType="end"/>
            </w:r>
            <w:r w:rsidR="002E28FA">
              <w:t xml:space="preserve"> of </w:t>
            </w:r>
            <w:r w:rsidR="002E28FA">
              <w:rPr>
                <w:b/>
                <w:bCs/>
                <w:sz w:val="24"/>
                <w:szCs w:val="24"/>
              </w:rPr>
              <w:fldChar w:fldCharType="begin"/>
            </w:r>
            <w:r w:rsidR="002E28FA">
              <w:rPr>
                <w:b/>
                <w:bCs/>
              </w:rPr>
              <w:instrText xml:space="preserve"> NUMPAGES  </w:instrText>
            </w:r>
            <w:r w:rsidR="002E28FA">
              <w:rPr>
                <w:b/>
                <w:bCs/>
                <w:sz w:val="24"/>
                <w:szCs w:val="24"/>
              </w:rPr>
              <w:fldChar w:fldCharType="separate"/>
            </w:r>
            <w:r w:rsidR="002B2EBE">
              <w:rPr>
                <w:b/>
                <w:bCs/>
                <w:noProof/>
              </w:rPr>
              <w:t>8</w:t>
            </w:r>
            <w:r w:rsidR="002E28FA">
              <w:rPr>
                <w:b/>
                <w:bCs/>
                <w:sz w:val="24"/>
                <w:szCs w:val="24"/>
              </w:rPr>
              <w:fldChar w:fldCharType="end"/>
            </w:r>
          </w:sdtContent>
        </w:sdt>
      </w:sdtContent>
    </w:sdt>
  </w:p>
  <w:p w:rsidR="002E28FA" w:rsidRDefault="002E2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E8" w:rsidRDefault="00CE43E8" w:rsidP="002E28FA">
      <w:pPr>
        <w:spacing w:after="0" w:line="240" w:lineRule="auto"/>
      </w:pPr>
      <w:r>
        <w:separator/>
      </w:r>
    </w:p>
  </w:footnote>
  <w:footnote w:type="continuationSeparator" w:id="0">
    <w:p w:rsidR="00CE43E8" w:rsidRDefault="00CE43E8" w:rsidP="002E28FA">
      <w:pPr>
        <w:spacing w:after="0" w:line="240" w:lineRule="auto"/>
      </w:pPr>
      <w:r>
        <w:continuationSeparator/>
      </w:r>
    </w:p>
  </w:footnote>
  <w:footnote w:id="1">
    <w:p w:rsidR="002B2EBE" w:rsidRDefault="002B2EBE" w:rsidP="002B2EBE">
      <w:pPr>
        <w:pStyle w:val="FootnoteText"/>
      </w:pPr>
      <w:r>
        <w:rPr>
          <w:rStyle w:val="FootnoteReference"/>
        </w:rPr>
        <w:footnoteRef/>
      </w:r>
      <w:r>
        <w:t xml:space="preserve"> </w:t>
      </w:r>
      <w:hyperlink r:id="rId1" w:history="1">
        <w:r>
          <w:rPr>
            <w:rStyle w:val="Hyperlink"/>
          </w:rPr>
          <w:t>Good Practice Guidelines for General Practice Electronic Patient Records v4</w:t>
        </w:r>
      </w:hyperlink>
      <w:r>
        <w:t xml:space="preserve"> </w:t>
      </w:r>
    </w:p>
  </w:footnote>
  <w:footnote w:id="2">
    <w:p w:rsidR="002B2EBE" w:rsidRDefault="002B2EBE" w:rsidP="002B2EBE">
      <w:pPr>
        <w:pStyle w:val="FootnoteText"/>
      </w:pPr>
      <w:r>
        <w:rPr>
          <w:rStyle w:val="FootnoteReference"/>
        </w:rPr>
        <w:footnoteRef/>
      </w:r>
      <w:r>
        <w:t xml:space="preserve"> Extracted from </w:t>
      </w:r>
      <w:hyperlink r:id="rId2" w:history="1">
        <w:r>
          <w:rPr>
            <w:rStyle w:val="Hyperlink"/>
          </w:rPr>
          <w:t>GPGv4 Quick Reference Guide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FF" w:rsidRDefault="002107FF" w:rsidP="002107FF">
    <w:pPr>
      <w:pStyle w:val="Header"/>
      <w:jc w:val="center"/>
      <w:rPr>
        <w:b/>
        <w:sz w:val="44"/>
      </w:rPr>
    </w:pPr>
    <w:r w:rsidRPr="007003D4">
      <w:rPr>
        <w:b/>
        <w:noProof/>
        <w:sz w:val="44"/>
        <w:lang w:eastAsia="en-GB"/>
      </w:rPr>
      <w:drawing>
        <wp:anchor distT="0" distB="0" distL="114300" distR="114300" simplePos="0" relativeHeight="251659264" behindDoc="1" locked="0" layoutInCell="1" allowOverlap="1" wp14:anchorId="63E154C9" wp14:editId="567E9B47">
          <wp:simplePos x="0" y="0"/>
          <wp:positionH relativeFrom="column">
            <wp:posOffset>-655608</wp:posOffset>
          </wp:positionH>
          <wp:positionV relativeFrom="paragraph">
            <wp:posOffset>-225293</wp:posOffset>
          </wp:positionV>
          <wp:extent cx="765544" cy="808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G logo.jpg"/>
                  <pic:cNvPicPr/>
                </pic:nvPicPr>
                <pic:blipFill rotWithShape="1">
                  <a:blip r:embed="rId1" cstate="print">
                    <a:extLst>
                      <a:ext uri="{28A0092B-C50C-407E-A947-70E740481C1C}">
                        <a14:useLocalDpi xmlns:a14="http://schemas.microsoft.com/office/drawing/2010/main" val="0"/>
                      </a:ext>
                    </a:extLst>
                  </a:blip>
                  <a:srcRect l="1" r="6206"/>
                  <a:stretch/>
                </pic:blipFill>
                <pic:spPr bwMode="auto">
                  <a:xfrm>
                    <a:off x="0" y="0"/>
                    <a:ext cx="765544" cy="808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3D4">
      <w:rPr>
        <w:b/>
        <w:sz w:val="44"/>
      </w:rPr>
      <w:t>Teign Estuary Medical Group</w:t>
    </w:r>
    <w:r>
      <w:rPr>
        <w:b/>
        <w:sz w:val="44"/>
      </w:rPr>
      <w:t xml:space="preserve"> – </w:t>
    </w:r>
  </w:p>
  <w:p w:rsidR="002107FF" w:rsidRPr="002107FF" w:rsidRDefault="002107FF" w:rsidP="002107FF">
    <w:pPr>
      <w:pStyle w:val="Header"/>
      <w:jc w:val="center"/>
      <w:rPr>
        <w:b/>
        <w:sz w:val="44"/>
      </w:rPr>
    </w:pPr>
    <w:r>
      <w:rPr>
        <w:b/>
        <w:sz w:val="44"/>
      </w:rPr>
      <w:t xml:space="preserve">Glendevon Medical Centre and Riverside Surgery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74"/>
    <w:multiLevelType w:val="multilevel"/>
    <w:tmpl w:val="E63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9715BD"/>
    <w:multiLevelType w:val="hybridMultilevel"/>
    <w:tmpl w:val="AF5262B2"/>
    <w:lvl w:ilvl="0" w:tplc="5088C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BF7846"/>
    <w:multiLevelType w:val="multilevel"/>
    <w:tmpl w:val="C2C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E2496"/>
    <w:multiLevelType w:val="hybridMultilevel"/>
    <w:tmpl w:val="7A4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40EF"/>
    <w:multiLevelType w:val="hybridMultilevel"/>
    <w:tmpl w:val="B9D82E40"/>
    <w:lvl w:ilvl="0" w:tplc="6AF82B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06232"/>
    <w:multiLevelType w:val="multilevel"/>
    <w:tmpl w:val="BC2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56328"/>
    <w:multiLevelType w:val="multilevel"/>
    <w:tmpl w:val="6FE6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AB1D39"/>
    <w:multiLevelType w:val="multilevel"/>
    <w:tmpl w:val="A7864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212D2"/>
    <w:multiLevelType w:val="hybridMultilevel"/>
    <w:tmpl w:val="7CD8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44E00"/>
    <w:multiLevelType w:val="multilevel"/>
    <w:tmpl w:val="24E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7257E7"/>
    <w:multiLevelType w:val="multilevel"/>
    <w:tmpl w:val="FBE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D4711D"/>
    <w:multiLevelType w:val="multilevel"/>
    <w:tmpl w:val="8BA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AE4C04"/>
    <w:multiLevelType w:val="multilevel"/>
    <w:tmpl w:val="F5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F26C0E"/>
    <w:multiLevelType w:val="multilevel"/>
    <w:tmpl w:val="3E58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58108A"/>
    <w:multiLevelType w:val="multilevel"/>
    <w:tmpl w:val="637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487421"/>
    <w:multiLevelType w:val="hybridMultilevel"/>
    <w:tmpl w:val="AFC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875B40"/>
    <w:multiLevelType w:val="multilevel"/>
    <w:tmpl w:val="C83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A13BE1"/>
    <w:multiLevelType w:val="hybridMultilevel"/>
    <w:tmpl w:val="BB80D4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4BBD5C98"/>
    <w:multiLevelType w:val="multilevel"/>
    <w:tmpl w:val="043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FD6486"/>
    <w:multiLevelType w:val="multilevel"/>
    <w:tmpl w:val="7EAC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E16363"/>
    <w:multiLevelType w:val="hybridMultilevel"/>
    <w:tmpl w:val="2230F7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74CE518D"/>
    <w:multiLevelType w:val="multilevel"/>
    <w:tmpl w:val="CC9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5E768D"/>
    <w:multiLevelType w:val="multilevel"/>
    <w:tmpl w:val="8BF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B85D9A"/>
    <w:multiLevelType w:val="hybridMultilevel"/>
    <w:tmpl w:val="2AE4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13187"/>
    <w:multiLevelType w:val="hybridMultilevel"/>
    <w:tmpl w:val="ED6C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5"/>
  </w:num>
  <w:num w:numId="5">
    <w:abstractNumId w:val="4"/>
  </w:num>
  <w:num w:numId="6">
    <w:abstractNumId w:val="23"/>
  </w:num>
  <w:num w:numId="7">
    <w:abstractNumId w:val="8"/>
  </w:num>
  <w:num w:numId="8">
    <w:abstractNumId w:val="1"/>
  </w:num>
  <w:num w:numId="9">
    <w:abstractNumId w:val="12"/>
  </w:num>
  <w:num w:numId="10">
    <w:abstractNumId w:val="24"/>
  </w:num>
  <w:num w:numId="11">
    <w:abstractNumId w:val="13"/>
  </w:num>
  <w:num w:numId="12">
    <w:abstractNumId w:val="10"/>
  </w:num>
  <w:num w:numId="13">
    <w:abstractNumId w:val="0"/>
  </w:num>
  <w:num w:numId="14">
    <w:abstractNumId w:val="14"/>
  </w:num>
  <w:num w:numId="15">
    <w:abstractNumId w:val="7"/>
  </w:num>
  <w:num w:numId="16">
    <w:abstractNumId w:val="11"/>
  </w:num>
  <w:num w:numId="17">
    <w:abstractNumId w:val="5"/>
  </w:num>
  <w:num w:numId="18">
    <w:abstractNumId w:val="18"/>
  </w:num>
  <w:num w:numId="19">
    <w:abstractNumId w:val="9"/>
  </w:num>
  <w:num w:numId="20">
    <w:abstractNumId w:val="21"/>
  </w:num>
  <w:num w:numId="21">
    <w:abstractNumId w:val="2"/>
  </w:num>
  <w:num w:numId="22">
    <w:abstractNumId w:val="22"/>
  </w:num>
  <w:num w:numId="23">
    <w:abstractNumId w:val="16"/>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BE"/>
    <w:rsid w:val="000C7E7B"/>
    <w:rsid w:val="002107FF"/>
    <w:rsid w:val="002B2EBE"/>
    <w:rsid w:val="002E28FA"/>
    <w:rsid w:val="0034060C"/>
    <w:rsid w:val="00496FE1"/>
    <w:rsid w:val="00542711"/>
    <w:rsid w:val="005C0DE4"/>
    <w:rsid w:val="0061017C"/>
    <w:rsid w:val="008C0B5F"/>
    <w:rsid w:val="008E7B1D"/>
    <w:rsid w:val="00925D29"/>
    <w:rsid w:val="00957A3E"/>
    <w:rsid w:val="00C86310"/>
    <w:rsid w:val="00CE43E8"/>
    <w:rsid w:val="00CE775A"/>
    <w:rsid w:val="00D04274"/>
    <w:rsid w:val="00DB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8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FA"/>
  </w:style>
  <w:style w:type="paragraph" w:styleId="Footer">
    <w:name w:val="footer"/>
    <w:basedOn w:val="Normal"/>
    <w:link w:val="FooterChar"/>
    <w:uiPriority w:val="99"/>
    <w:unhideWhenUsed/>
    <w:rsid w:val="002E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FA"/>
  </w:style>
  <w:style w:type="paragraph" w:styleId="Title">
    <w:name w:val="Title"/>
    <w:basedOn w:val="Normal"/>
    <w:next w:val="Normal"/>
    <w:link w:val="TitleChar"/>
    <w:uiPriority w:val="10"/>
    <w:qFormat/>
    <w:rsid w:val="002E2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8F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E28FA"/>
    <w:pPr>
      <w:spacing w:after="0" w:line="240" w:lineRule="auto"/>
    </w:pPr>
  </w:style>
  <w:style w:type="character" w:styleId="Hyperlink">
    <w:name w:val="Hyperlink"/>
    <w:basedOn w:val="DefaultParagraphFont"/>
    <w:uiPriority w:val="99"/>
    <w:unhideWhenUsed/>
    <w:rsid w:val="002E28FA"/>
    <w:rPr>
      <w:color w:val="0000FF" w:themeColor="hyperlink"/>
      <w:u w:val="single"/>
    </w:rPr>
  </w:style>
  <w:style w:type="paragraph" w:customStyle="1" w:styleId="Default">
    <w:name w:val="Default"/>
    <w:rsid w:val="00DB3C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3C74"/>
    <w:pPr>
      <w:ind w:left="720"/>
      <w:contextualSpacing/>
    </w:pPr>
  </w:style>
  <w:style w:type="character" w:customStyle="1" w:styleId="Heading2Char">
    <w:name w:val="Heading 2 Char"/>
    <w:basedOn w:val="DefaultParagraphFont"/>
    <w:link w:val="Heading2"/>
    <w:uiPriority w:val="9"/>
    <w:rsid w:val="00D0427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B2EBE"/>
    <w:pPr>
      <w:spacing w:after="0" w:line="240" w:lineRule="auto"/>
    </w:pPr>
    <w:rPr>
      <w:sz w:val="24"/>
      <w:szCs w:val="24"/>
    </w:rPr>
  </w:style>
  <w:style w:type="character" w:customStyle="1" w:styleId="FootnoteTextChar">
    <w:name w:val="Footnote Text Char"/>
    <w:basedOn w:val="DefaultParagraphFont"/>
    <w:link w:val="FootnoteText"/>
    <w:uiPriority w:val="99"/>
    <w:rsid w:val="002B2EBE"/>
    <w:rPr>
      <w:sz w:val="24"/>
      <w:szCs w:val="24"/>
    </w:rPr>
  </w:style>
  <w:style w:type="character" w:styleId="FootnoteReference">
    <w:name w:val="footnote reference"/>
    <w:basedOn w:val="DefaultParagraphFont"/>
    <w:uiPriority w:val="99"/>
    <w:unhideWhenUsed/>
    <w:rsid w:val="002B2EBE"/>
    <w:rPr>
      <w:vertAlign w:val="superscript"/>
    </w:rPr>
  </w:style>
  <w:style w:type="paragraph" w:styleId="TOC1">
    <w:name w:val="toc 1"/>
    <w:basedOn w:val="Normal"/>
    <w:next w:val="Normal"/>
    <w:autoRedefine/>
    <w:uiPriority w:val="39"/>
    <w:rsid w:val="002B2EBE"/>
    <w:pPr>
      <w:spacing w:before="360" w:after="0" w:line="240" w:lineRule="auto"/>
    </w:pPr>
    <w:rPr>
      <w:rFonts w:asciiTheme="majorHAnsi" w:hAnsiTheme="majorHAnsi" w:cstheme="majorHAnsi"/>
      <w:b/>
      <w:bCs/>
      <w:caps/>
      <w:sz w:val="24"/>
      <w:szCs w:val="24"/>
    </w:rPr>
  </w:style>
  <w:style w:type="paragraph" w:styleId="TOC2">
    <w:name w:val="toc 2"/>
    <w:basedOn w:val="Normal"/>
    <w:next w:val="Normal"/>
    <w:autoRedefine/>
    <w:uiPriority w:val="39"/>
    <w:rsid w:val="002B2EBE"/>
    <w:pPr>
      <w:tabs>
        <w:tab w:val="left" w:pos="660"/>
        <w:tab w:val="right" w:pos="8296"/>
      </w:tabs>
      <w:spacing w:before="80" w:after="0" w:line="240" w:lineRule="auto"/>
    </w:pPr>
    <w:rPr>
      <w:rFonts w:cstheme="minorHAnsi"/>
      <w:b/>
      <w:bCs/>
      <w:sz w:val="20"/>
      <w:szCs w:val="20"/>
    </w:rPr>
  </w:style>
  <w:style w:type="paragraph" w:styleId="NormalWeb">
    <w:name w:val="Normal (Web)"/>
    <w:basedOn w:val="Normal"/>
    <w:uiPriority w:val="99"/>
    <w:unhideWhenUsed/>
    <w:rsid w:val="002B2EB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8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FA"/>
  </w:style>
  <w:style w:type="paragraph" w:styleId="Footer">
    <w:name w:val="footer"/>
    <w:basedOn w:val="Normal"/>
    <w:link w:val="FooterChar"/>
    <w:uiPriority w:val="99"/>
    <w:unhideWhenUsed/>
    <w:rsid w:val="002E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FA"/>
  </w:style>
  <w:style w:type="paragraph" w:styleId="Title">
    <w:name w:val="Title"/>
    <w:basedOn w:val="Normal"/>
    <w:next w:val="Normal"/>
    <w:link w:val="TitleChar"/>
    <w:uiPriority w:val="10"/>
    <w:qFormat/>
    <w:rsid w:val="002E2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8F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E28FA"/>
    <w:pPr>
      <w:spacing w:after="0" w:line="240" w:lineRule="auto"/>
    </w:pPr>
  </w:style>
  <w:style w:type="character" w:styleId="Hyperlink">
    <w:name w:val="Hyperlink"/>
    <w:basedOn w:val="DefaultParagraphFont"/>
    <w:uiPriority w:val="99"/>
    <w:unhideWhenUsed/>
    <w:rsid w:val="002E28FA"/>
    <w:rPr>
      <w:color w:val="0000FF" w:themeColor="hyperlink"/>
      <w:u w:val="single"/>
    </w:rPr>
  </w:style>
  <w:style w:type="paragraph" w:customStyle="1" w:styleId="Default">
    <w:name w:val="Default"/>
    <w:rsid w:val="00DB3C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3C74"/>
    <w:pPr>
      <w:ind w:left="720"/>
      <w:contextualSpacing/>
    </w:pPr>
  </w:style>
  <w:style w:type="character" w:customStyle="1" w:styleId="Heading2Char">
    <w:name w:val="Heading 2 Char"/>
    <w:basedOn w:val="DefaultParagraphFont"/>
    <w:link w:val="Heading2"/>
    <w:uiPriority w:val="9"/>
    <w:rsid w:val="00D0427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B2EBE"/>
    <w:pPr>
      <w:spacing w:after="0" w:line="240" w:lineRule="auto"/>
    </w:pPr>
    <w:rPr>
      <w:sz w:val="24"/>
      <w:szCs w:val="24"/>
    </w:rPr>
  </w:style>
  <w:style w:type="character" w:customStyle="1" w:styleId="FootnoteTextChar">
    <w:name w:val="Footnote Text Char"/>
    <w:basedOn w:val="DefaultParagraphFont"/>
    <w:link w:val="FootnoteText"/>
    <w:uiPriority w:val="99"/>
    <w:rsid w:val="002B2EBE"/>
    <w:rPr>
      <w:sz w:val="24"/>
      <w:szCs w:val="24"/>
    </w:rPr>
  </w:style>
  <w:style w:type="character" w:styleId="FootnoteReference">
    <w:name w:val="footnote reference"/>
    <w:basedOn w:val="DefaultParagraphFont"/>
    <w:uiPriority w:val="99"/>
    <w:unhideWhenUsed/>
    <w:rsid w:val="002B2EBE"/>
    <w:rPr>
      <w:vertAlign w:val="superscript"/>
    </w:rPr>
  </w:style>
  <w:style w:type="paragraph" w:styleId="TOC1">
    <w:name w:val="toc 1"/>
    <w:basedOn w:val="Normal"/>
    <w:next w:val="Normal"/>
    <w:autoRedefine/>
    <w:uiPriority w:val="39"/>
    <w:rsid w:val="002B2EBE"/>
    <w:pPr>
      <w:spacing w:before="360" w:after="0" w:line="240" w:lineRule="auto"/>
    </w:pPr>
    <w:rPr>
      <w:rFonts w:asciiTheme="majorHAnsi" w:hAnsiTheme="majorHAnsi" w:cstheme="majorHAnsi"/>
      <w:b/>
      <w:bCs/>
      <w:caps/>
      <w:sz w:val="24"/>
      <w:szCs w:val="24"/>
    </w:rPr>
  </w:style>
  <w:style w:type="paragraph" w:styleId="TOC2">
    <w:name w:val="toc 2"/>
    <w:basedOn w:val="Normal"/>
    <w:next w:val="Normal"/>
    <w:autoRedefine/>
    <w:uiPriority w:val="39"/>
    <w:rsid w:val="002B2EBE"/>
    <w:pPr>
      <w:tabs>
        <w:tab w:val="left" w:pos="660"/>
        <w:tab w:val="right" w:pos="8296"/>
      </w:tabs>
      <w:spacing w:before="80" w:after="0" w:line="240" w:lineRule="auto"/>
    </w:pPr>
    <w:rPr>
      <w:rFonts w:cstheme="minorHAnsi"/>
      <w:b/>
      <w:bCs/>
      <w:sz w:val="20"/>
      <w:szCs w:val="20"/>
    </w:rPr>
  </w:style>
  <w:style w:type="paragraph" w:styleId="NormalWeb">
    <w:name w:val="Normal (Web)"/>
    <w:basedOn w:val="Normal"/>
    <w:uiPriority w:val="99"/>
    <w:unhideWhenUsed/>
    <w:rsid w:val="002B2EB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gp2g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5681/dh_125351.pdf" TargetMode="External"/><Relationship Id="rId1" Type="http://schemas.openxmlformats.org/officeDocument/2006/relationships/hyperlink" Target="file:///C:\Users\Patricia\AppData\Local\Temp\Temp1_phil%20polices.zip\Good%20Practice%20Guidelines%20for%20General%20Practice%20Electronic%20Patient%20Records%20v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rovedAccessHCA2\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A983-207C-483D-B5DE-E90FFDFC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2018-05-29T11:50:00Z</cp:lastPrinted>
  <dcterms:created xsi:type="dcterms:W3CDTF">2018-12-29T15:19:00Z</dcterms:created>
  <dcterms:modified xsi:type="dcterms:W3CDTF">2018-12-29T15:20:00Z</dcterms:modified>
</cp:coreProperties>
</file>